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50503.xml.htm"/>
      <w:bookmarkStart w:id="1" w:name="ksform405142026_0505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SALAMON STEVEN 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WELLESLEY STREET WEST, SUITE 326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M4Y 0G7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DELCATH SYSTEMS, INC.</w:t>
              </w:r>
            </w:hyperlink>
            <w:r>
              <w:rPr/>
              <w:t xml:space="preserve"> [ </w:t>
            </w:r>
            <w:r>
              <w:rPr>
                <w:rFonts w:ascii="Times;serif" w:hAnsi="Times;serif"/>
                <w:color w:val="0000FF"/>
                <w:sz w:val="24"/>
                <w:shd w:fill="FFFFFF" w:val="clear"/>
              </w:rPr>
              <w:t>DCTH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at the rate of one-twelfth (1/12th) per month with the first such vesting to occur on May 13, 2026 and monthly thereafter for so long as the reporting person remains a director of the Issuer (and subject to the terms and conditions of the Issuer's 2020 Omnibus Equity Incentive Plan, as amended). The option will expire the earlier of 10 years from the grant date or, for vested options, two years from the last day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Gerard Michel,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082" TargetMode="External"/><Relationship Id="rId5" Type="http://schemas.openxmlformats.org/officeDocument/2006/relationships/hyperlink" Target="http://www.sec.gov/cgi-bin/browse-edgar?action=getcompany&amp;CIK=0000872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3470</Characters>
  <CharactersWithSpaces>4064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