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DELCATH 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001-16133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06-1245881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484"/>
        <w:spacing w:after="0"/>
        <w:rPr>
          <w:sz w:val="20"/>
          <w:szCs w:val="20"/>
          <w:color w:val="auto"/>
        </w:rPr>
      </w:pPr>
      <w:r>
        <w:rPr>
          <w:rFonts w:ascii="Times New Roman" w:cs="Times New Roman" w:eastAsia="Times New Roman" w:hAnsi="Times New Roman"/>
          <w:sz w:val="18"/>
          <w:szCs w:val="18"/>
          <w:b w:val="1"/>
          <w:bCs w:val="1"/>
          <w:color w:val="auto"/>
        </w:rPr>
        <w:t>1633 Broadway, Suite 22C,</w:t>
      </w:r>
    </w:p>
    <w:p>
      <w:pPr>
        <w:spacing w:after="0" w:line="31" w:lineRule="exact"/>
        <w:rPr>
          <w:sz w:val="24"/>
          <w:szCs w:val="24"/>
          <w:color w:val="auto"/>
        </w:rPr>
      </w:pPr>
    </w:p>
    <w:p>
      <w:pPr>
        <w:ind w:left="4444"/>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489-2100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DCTH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December 7, 2022, Delcath Systems, Inc. ( the “Company”) and certain accredited investors (each an “Investor” and collectively, the “Investors”) entered into a securities purchase agreement (the “Securities Purchase Agreement”) pursuant to which the Company agreed to sell and issue to the Investors in a private placement (the “Private Placement”) (i) an aggregate of 1,448,889 shares (the “Shares”) of the Company’s common stock, par value $0.01 per share (the “Common Stock”), at a purchase price of $2.90 per share, and (ii) in lieu of shares of Common Stock, 692,042 pre-funded warrants (the “Pre-Funded Warrants”) to purchase Common Stock (the “Warrant Shares” and together with the Shares, the “Securities”), at a purchase price of $2.89 per Pre-Funded Warrant. The Pre-Funded Warrants will have an exercise price of $0.01 per share of Common Stock, be immediately exercisable and remain exercisable until exercised in full.</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Private Placement closed on December 13, 2022. The Company received gross proceeds from the Private Placement of approximately $6.2 million, before deducting offering expenses payable by the Company. The Company intends to use the net proceeds of the Private Placement for working capital and other general corporate purposes.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 and the Pre-Funded Warrants does not purport to be complete and is qualified in its entirety by reference to the complete text of the Securities Purchase Agreement and the form of the Pre-Funded Warrant, which are attached hereto as Exhibits 10.1 and 4.1, respectively, to this Current Report on Form 8-K and are hereby incorporated by reference into this Item 1.01.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Private Placement, the Company and the Investors entered into a Registration Rights Agreement dated December 7, 2022 (the “Registration Rights Agreement”), providing for the registration for resale of the Securities (including the shares of Common Stock underlying the Pre-Funded Warrants) that are not then registered on an effective registration statement, pursuant to a registration statement (the “Registration Statement”) to be filed with the Securities and Exchange Commission (the “SEC”) on or prior to February 6, 2023 (the “Filing Date”). The Company has agreed to use its best efforts to cause the Registration Statement to be declared effective as soon as possible, but in no event later than 75 days of the closing of the Private Placement (or 120 days in the event of a full review of the Registration Statement by the SEC) (the “Effectiveness Date”), and to keep the Registration Statement continuously effective for a period that extends from the first date on which the SEC issues an order of effectiveness in relation to the Registration Statement until such date that all registrable securities (as such term is defined in the Registration Rights Agreement) covered by the Registration Statement have been sold thereunder or pursuant to Rule 144 or may be sold without volume or manner-of-sale restrictions pursuant to Rule 144 and without the requirement for the Company to be in compliance with the current public information requirement under Rule 144.</w:t>
      </w:r>
    </w:p>
    <w:p>
      <w:pPr>
        <w:spacing w:after="0" w:line="19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In the event (i) the Registration Statement is not filed on or prior to the Filing Date, or (ii) the Company fails to file with the SEC a request for acceleration of a registration statement in accordance with Rule 461 promulgated under the Act within five trading days of the date that the Company is notified by the SEC that the Registration Statement will not be “reviewed” or will not be subject to further review, or (iii) prior to the effective date of the Registration Statement, the Company fails to file a pre-effective amendment and otherwise respond in writing to comments made by the SEC in respect of such Registration Statement within fifteen calendar days after the receipt of comments by or notice from the SEC that such amendment is required in order for such Registration Statement to be declared effective, or (iv) the Registration Statement is not declared effective by the Effectiveness Date, or (v) after the effective date of the Registration Statement, it ceases for any reason to remain continuously effective as to the Securities, or the holders are otherwise not permitted to utilize the prospectus therein to resell the Securities, for more than fifteen consecutive calendar days or more than an aggregate of twenty calendar days during any 12-month period, then, until the applicable event is cured, the Company shall pay to each holder an amount in cash, as partial liquidated damages and not as penalty, equal to the product of 1.0% multiplied by the aggregate subscription amount paid by such holder pursuant to the Securities Purchase Agreement, subject to certain caps set forth in the Registration Rights Agreement.</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has granted the Investors customary indemnification rights in connection with the Registration Statement. The Investors have also granted the Company customary indemnification rights in connection with the Registration Statement.</w:t>
      </w:r>
    </w:p>
    <w:p>
      <w:pPr>
        <w:spacing w:after="0" w:line="162"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Registration Rights Agreement, a copy of which is filed as Exhibit 10.2 hereto and incorporated by reference into this Item 1.01.</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Shares of Equity Securities.</w:t>
      </w:r>
    </w:p>
    <w:p>
      <w:pPr>
        <w:spacing w:after="0" w:line="121"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Investors in the Securities Purchase Agreement, the offering and sale of the securities was made in reliance on the exemption afforded by Regulation D under the Securities Act of 1933, as amended (the “Securities Act”) and/or Regulation S under the Securities Act inasmuch as certain Investors are not a “U.S. person” (as defined in Rule 902 under the Securities Act) and the requirements of Rule 903 under</w:t>
      </w:r>
    </w:p>
    <w:p>
      <w:pPr>
        <w:spacing w:after="0" w:line="3" w:lineRule="exact"/>
        <w:rPr>
          <w:sz w:val="20"/>
          <w:szCs w:val="20"/>
          <w:color w:val="auto"/>
        </w:rPr>
      </w:pPr>
    </w:p>
    <w:p>
      <w:pPr>
        <w:ind w:left="4" w:right="240"/>
        <w:spacing w:after="0" w:line="252" w:lineRule="auto"/>
        <w:rPr>
          <w:sz w:val="20"/>
          <w:szCs w:val="20"/>
          <w:color w:val="auto"/>
        </w:rPr>
      </w:pPr>
      <w:r>
        <w:rPr>
          <w:rFonts w:ascii="Times New Roman" w:cs="Times New Roman" w:eastAsia="Times New Roman" w:hAnsi="Times New Roman"/>
          <w:sz w:val="18"/>
          <w:szCs w:val="18"/>
          <w:color w:val="auto"/>
        </w:rPr>
        <w:t>the Securities Act are otherwise met, and corresponding provisions of state securities or “blue sky” laws. The Securities (including the shares of Common Stock underlying the Pre-Funded Warrants) have not been registered under the Securities Act or any state securities laws and may not be offered or sold in the United States absent registration with the SEC or an applicable exemption from the registration requirements. The sale of the Securities did not involve a public offering and was made without general solicitation or general advertising. The Investors represented that they are accredited investors, as such term is defined in Rule 501(a) of Regulation D under the Securities Act, and that they are acquiring the securities for investment purposes only and not with a view to any resale, distribution or other disposition of the securities in violation of the U.S. federal securities laws.</w:t>
      </w:r>
    </w:p>
    <w:p>
      <w:pPr>
        <w:spacing w:after="0" w:line="188"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On December 8, 2022, the Company issued a press release announcing the Private Placement. The press release is attached as Exhibit 99.1 to this Current Report on Form 8-K and incorporated into this Item 8.01 by reference.</w:t>
      </w:r>
    </w:p>
    <w:p>
      <w:pPr>
        <w:spacing w:after="0" w:line="162"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On December 13, 2022, the Company issued a press release announcing the completion of the Private Placement. The press release is attached as Exhibit 99.2 to this Current Report on Form 8-K and incorporated into this Item 8.01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84"/>
        <w:spacing w:after="0"/>
        <w:tabs>
          <w:tab w:leader="none" w:pos="86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 dated December 7, 2022, by and among Delcath Systems, Inc. and the persons party thereto</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 dated December 7, 2022, by and among Delcath Systems, Inc. and the persons party thereto</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8, 2022</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dated December 13, 2022</w:t>
      </w:r>
    </w:p>
    <w:p>
      <w:pPr>
        <w:spacing w:after="0" w:line="117" w:lineRule="exact"/>
        <w:rPr>
          <w:sz w:val="20"/>
          <w:szCs w:val="20"/>
          <w:color w:val="auto"/>
        </w:rPr>
      </w:pPr>
    </w:p>
    <w:p>
      <w:pPr>
        <w:ind w:left="884" w:hanging="839"/>
        <w:spacing w:after="0"/>
        <w:tabs>
          <w:tab w:leader="none" w:pos="8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30" w:lineRule="exact"/>
        <w:rPr>
          <w:rFonts w:ascii="Times New Roman" w:cs="Times New Roman" w:eastAsia="Times New Roman" w:hAnsi="Times New Roman"/>
          <w:sz w:val="18"/>
          <w:szCs w:val="18"/>
          <w:color w:val="auto"/>
        </w:rPr>
      </w:pPr>
    </w:p>
    <w:p>
      <w:pPr>
        <w:ind w:left="224" w:right="48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exhibits have been omitted pursuant to Item 601(a)(5) of Regulation S-K. A copy of any omitted schedule and/or exhibit will be furnished to the SEC upon request.</w:t>
      </w:r>
    </w:p>
    <w:p>
      <w:pPr>
        <w:sectPr>
          <w:pgSz w:w="11900" w:h="16838" w:orient="portrait"/>
          <w:cols w:equalWidth="0" w:num="1">
            <w:col w:w="11004"/>
          </w:cols>
          <w:pgMar w:left="436"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DELCATH SYSTEMS,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13, 2022</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Michel</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Gerard Michel</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 HEDGING TRANSACTIONS INVOLVING THE SECURITIES ARE PROHIBITED EXCEPT IN COMPLIANCE WITH THE SECURITIES ACT.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 ], 2022</w:t>
      </w:r>
    </w:p>
    <w:p>
      <w:pPr>
        <w:spacing w:after="0" w:line="129" w:lineRule="exact"/>
        <w:rPr>
          <w:sz w:val="20"/>
          <w:szCs w:val="20"/>
          <w:color w:val="auto"/>
        </w:rPr>
      </w:pPr>
    </w:p>
    <w:p>
      <w:pPr>
        <w:sectPr>
          <w:pgSz w:w="11900" w:h="16838" w:orient="portrait"/>
          <w:cols w:equalWidth="0" w:num="2">
            <w:col w:w="6440" w:space="720"/>
            <w:col w:w="3860"/>
          </w:cols>
          <w:pgMar w:left="440" w:top="117" w:right="439" w:bottom="1440" w:gutter="0" w:footer="0" w:header="0"/>
          <w:type w:val="continuous"/>
        </w:sectPr>
      </w:pPr>
    </w:p>
    <w:p>
      <w:pPr>
        <w:ind w:left="7160"/>
        <w:spacing w:after="0"/>
        <w:rPr>
          <w:sz w:val="20"/>
          <w:szCs w:val="20"/>
          <w:color w:val="auto"/>
        </w:rPr>
      </w:pPr>
      <w:r>
        <w:rPr>
          <w:rFonts w:ascii="Times New Roman" w:cs="Times New Roman" w:eastAsia="Times New Roman" w:hAnsi="Times New Roman"/>
          <w:sz w:val="18"/>
          <w:szCs w:val="18"/>
          <w:color w:val="auto"/>
        </w:rPr>
        <w:t>Initial Exercise Date: [ ], 2022</w:t>
      </w:r>
    </w:p>
    <w:p>
      <w:pPr>
        <w:sectPr>
          <w:pgSz w:w="11900" w:h="16838" w:orient="portrait"/>
          <w:cols w:equalWidth="0" w:num="1">
            <w:col w:w="11020"/>
          </w:cols>
          <w:pgMar w:left="440" w:top="117" w:right="439" w:bottom="1440" w:gutter="0" w:footer="0" w:header="0"/>
          <w:type w:val="continuous"/>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 or its</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Delcath Systems,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 shares of 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7"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December 7, 2022,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8" w:lineRule="auto"/>
        <w:tabs>
          <w:tab w:leader="none" w:pos="10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and (ii) the number of Trading Days comprising the Standard Settlement Period (as defined in Section 2(d)(i) herein) following the date of exercise as aforesaid, the Holder shall deliver the aggregate Exercise Price for the Warrant Shares</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specified in the applicable Notice of Exercise by wire transfer or cashier’s check drawn on a United States bank, in either case in immediately available funds,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88"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$0.01 per Warrant Share, was pre-funded to the Company on or prior to the Initial Exercise Date and, consequently, no additional consideration (other than the nominal exercise price of $0.01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20" w:firstLine="419"/>
        <w:spacing w:after="0" w:line="282" w:lineRule="auto"/>
        <w:tabs>
          <w:tab w:leader="none" w:pos="6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rFonts w:ascii="Times New Roman" w:cs="Times New Roman" w:eastAsia="Times New Roman" w:hAnsi="Times New Roman"/>
          <w:sz w:val="18"/>
          <w:szCs w:val="18"/>
          <w:color w:val="auto"/>
        </w:rPr>
      </w:pPr>
    </w:p>
    <w:p>
      <w:pPr>
        <w:ind w:left="1100" w:hanging="579"/>
        <w:spacing w:after="0" w:line="261" w:lineRule="auto"/>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6" w:name="page7"/>
    <w:bookmarkEnd w:id="6"/>
    <w:p>
      <w:pPr>
        <w:ind w:left="980"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w:t>
      </w:r>
    </w:p>
    <w:p>
      <w:pPr>
        <w:spacing w:after="0" w:line="3" w:lineRule="exact"/>
        <w:rPr>
          <w:sz w:val="20"/>
          <w:szCs w:val="20"/>
          <w:color w:val="auto"/>
        </w:rPr>
      </w:pPr>
    </w:p>
    <w:p>
      <w:pPr>
        <w:ind w:left="980" w:right="160" w:firstLine="8"/>
        <w:spacing w:after="0" w:line="255" w:lineRule="auto"/>
        <w:tabs>
          <w:tab w:leader="none" w:pos="12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1" w:lineRule="exact"/>
        <w:rPr>
          <w:rFonts w:ascii="Times New Roman" w:cs="Times New Roman" w:eastAsia="Times New Roman" w:hAnsi="Times New Roman"/>
          <w:sz w:val="18"/>
          <w:szCs w:val="18"/>
          <w:color w:val="auto"/>
        </w:rPr>
      </w:pPr>
    </w:p>
    <w:p>
      <w:pPr>
        <w:ind w:left="900" w:hanging="36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31" w:lineRule="exact"/>
        <w:rPr>
          <w:sz w:val="20"/>
          <w:szCs w:val="20"/>
          <w:color w:val="auto"/>
        </w:rPr>
      </w:pPr>
    </w:p>
    <w:p>
      <w:pPr>
        <w:ind w:left="1100" w:right="100" w:hanging="579"/>
        <w:spacing w:after="0" w:line="282" w:lineRule="auto"/>
        <w:tabs>
          <w:tab w:leader="none" w:pos="8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right="160" w:firstLine="423"/>
        <w:spacing w:after="0" w:line="289"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50" w:lineRule="exact"/>
        <w:rPr>
          <w:sz w:val="20"/>
          <w:szCs w:val="20"/>
          <w:color w:val="auto"/>
        </w:rPr>
      </w:pPr>
    </w:p>
    <w:p>
      <w:pPr>
        <w:ind w:right="4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is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reasonable fees and expenses of which shall be paid by the Company.</w:t>
      </w:r>
    </w:p>
    <w:p>
      <w:pPr>
        <w:spacing w:after="0" w:line="86"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the volume weighted average price of the Common Stock for such date (or the nearest preceding date) on OTCQB or OTCQX as applicable, (c) if the Common Stock is not then listed or quoted for trading on OTCQB or OTCQX and if prices for the Common Stock is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reasonable fees and expenses of which shall be paid by the Company.</w:t>
      </w:r>
    </w:p>
    <w:p>
      <w:pPr>
        <w:spacing w:after="0" w:line="79" w:lineRule="exact"/>
        <w:rPr>
          <w:sz w:val="20"/>
          <w:szCs w:val="20"/>
          <w:color w:val="auto"/>
        </w:rPr>
      </w:pPr>
    </w:p>
    <w:p>
      <w:pPr>
        <w:ind w:left="620" w:hanging="201"/>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0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Company’s transfer agent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the Company shall have received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beginning one Trading Day after the Warrant Share Delivery Date, to the Holder, in cash, as liquidated damages and not as a penalty, for each $1,000 of Warrant Shares subject to such exercise (based on the VWAP of the Common Stock on the date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Common Stock as in effect on the date of the delivery of the Notice of Exercise.</w:t>
      </w:r>
    </w:p>
    <w:p>
      <w:pPr>
        <w:spacing w:after="0" w:line="79" w:lineRule="exact"/>
        <w:rPr>
          <w:sz w:val="20"/>
          <w:szCs w:val="20"/>
          <w:color w:val="auto"/>
        </w:rPr>
      </w:pPr>
    </w:p>
    <w:p>
      <w:pPr>
        <w:ind w:right="20" w:firstLine="408"/>
        <w:spacing w:after="0" w:line="261" w:lineRule="auto"/>
        <w:tabs>
          <w:tab w:leader="none" w:pos="5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remaining available under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jc w:val="both"/>
        <w:ind w:right="360" w:firstLine="408"/>
        <w:spacing w:after="0" w:line="261" w:lineRule="auto"/>
        <w:tabs>
          <w:tab w:leader="none" w:pos="6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delivery of such Warrant Shares (in which case any liquidated damages payable under Section 2(d)(i) shall no longer be payable.</w:t>
      </w:r>
    </w:p>
    <w:p>
      <w:pPr>
        <w:spacing w:after="0" w:line="71" w:lineRule="exact"/>
        <w:rPr>
          <w:rFonts w:ascii="Times New Roman" w:cs="Times New Roman" w:eastAsia="Times New Roman" w:hAnsi="Times New Roman"/>
          <w:sz w:val="18"/>
          <w:szCs w:val="18"/>
          <w:color w:val="auto"/>
        </w:rPr>
      </w:pPr>
    </w:p>
    <w:p>
      <w:pPr>
        <w:ind w:firstLine="408"/>
        <w:spacing w:after="0" w:line="253" w:lineRule="auto"/>
        <w:tabs>
          <w:tab w:leader="none" w:pos="6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for the Holder,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reasonable and customary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w:t>
      </w:r>
    </w:p>
    <w:p>
      <w:pPr>
        <w:spacing w:after="0" w:line="1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60"/>
          </w:cols>
          <w:pgMar w:left="1420" w:top="270" w:right="519" w:bottom="1440" w:gutter="0" w:footer="0" w:header="0"/>
        </w:sectPr>
      </w:pPr>
    </w:p>
    <w:bookmarkStart w:id="9" w:name="page10"/>
    <w:bookmarkEnd w:id="9"/>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Stock upon exercise of the Warrant as required pursuant to the terms hereof.</w:t>
      </w:r>
    </w:p>
    <w:p>
      <w:pPr>
        <w:spacing w:after="0" w:line="80"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firstLine="408"/>
        <w:spacing w:after="0" w:line="272" w:lineRule="auto"/>
        <w:tabs>
          <w:tab w:leader="none" w:pos="6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63" w:lineRule="exact"/>
        <w:rPr>
          <w:rFonts w:ascii="Times New Roman" w:cs="Times New Roman" w:eastAsia="Times New Roman" w:hAnsi="Times New Roman"/>
          <w:sz w:val="17"/>
          <w:szCs w:val="17"/>
          <w:color w:val="auto"/>
        </w:rPr>
      </w:pPr>
    </w:p>
    <w:p>
      <w:pPr>
        <w:ind w:right="600" w:firstLine="408"/>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20" w:top="270" w:right="479" w:bottom="1440" w:gutter="0" w:footer="0" w:header="0"/>
        </w:sectPr>
      </w:pPr>
    </w:p>
    <w:bookmarkStart w:id="10" w:name="page11"/>
    <w:bookmarkEnd w:id="10"/>
    <w:p>
      <w:pPr>
        <w:ind w:left="-20" w:firstLine="408"/>
        <w:spacing w:after="0" w:line="251" w:lineRule="auto"/>
        <w:tabs>
          <w:tab w:leader="none" w:pos="5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such shares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and the calculations required under this Section 2(e).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or filing by the Company or (C) a more recent written notice by the Company or the Transfer Agent setting forth the number of shares of Common Stock outstanding. Upon the written request of a Holder, the Company shall within one Trading Day confirm orally and in writing to the Holder the number of shares of Common Stock then outstanding. In any case, the number of</w:t>
      </w:r>
    </w:p>
    <w:p>
      <w:pPr>
        <w:spacing w:after="0" w:line="1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11" w:name="page12"/>
    <w:bookmarkEnd w:id="11"/>
    <w:p>
      <w:pPr>
        <w:ind w:left="544"/>
        <w:spacing w:after="0" w:line="24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 of the number of shares of Common Stock outstanding immediately after giving effect to the issuance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Section 2(e) shall be construed and implemented in a manner otherwise than in strict conformity with the terms of this Section 2(e) to correct this Section 2(e)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19"/>
        <w:spacing w:after="0" w:line="257" w:lineRule="auto"/>
        <w:tabs>
          <w:tab w:leader="none" w:pos="6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in respect of the Company’s Common Stock (which, for avoidance of doubt, shall not include any Common Stock issued by the Company upon exercise of this Warrant), (ii) subdivides outstanding shares of Common Stock into a larger number of shares,</w:t>
      </w:r>
    </w:p>
    <w:p>
      <w:pPr>
        <w:spacing w:after="0" w:line="1" w:lineRule="exact"/>
        <w:rPr>
          <w:rFonts w:ascii="Times New Roman" w:cs="Times New Roman" w:eastAsia="Times New Roman" w:hAnsi="Times New Roman"/>
          <w:sz w:val="18"/>
          <w:szCs w:val="18"/>
          <w:color w:val="auto"/>
        </w:rPr>
      </w:pPr>
    </w:p>
    <w:p>
      <w:pPr>
        <w:ind w:left="4" w:right="140" w:hanging="4"/>
        <w:spacing w:after="0" w:line="251" w:lineRule="auto"/>
        <w:tabs>
          <w:tab w:leader="none" w:pos="3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combines (including by way of reverse share split) outstanding shares of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85" w:lineRule="exact"/>
        <w:rPr>
          <w:rFonts w:ascii="Times New Roman" w:cs="Times New Roman" w:eastAsia="Times New Roman" w:hAnsi="Times New Roman"/>
          <w:sz w:val="18"/>
          <w:szCs w:val="18"/>
          <w:color w:val="auto"/>
        </w:rPr>
      </w:pPr>
    </w:p>
    <w:p>
      <w:pPr>
        <w:ind w:left="624" w:hanging="201"/>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2" w:name="page13"/>
    <w:bookmarkEnd w:id="12"/>
    <w:p>
      <w:pPr>
        <w:ind w:firstLine="419"/>
        <w:spacing w:after="0" w:line="253"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shares, warrants, securities or other property pro rata to the record holders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such Purchase Right shall terminate on, and shall not be held in abeyance for any period subsequent to the Termination Date.</w:t>
      </w:r>
    </w:p>
    <w:p>
      <w:pPr>
        <w:spacing w:after="0" w:line="81" w:lineRule="exact"/>
        <w:rPr>
          <w:rFonts w:ascii="Times New Roman" w:cs="Times New Roman" w:eastAsia="Times New Roman" w:hAnsi="Times New Roman"/>
          <w:sz w:val="18"/>
          <w:szCs w:val="18"/>
          <w:color w:val="auto"/>
        </w:rPr>
      </w:pPr>
    </w:p>
    <w:p>
      <w:pPr>
        <w:ind w:right="40" w:firstLine="419"/>
        <w:spacing w:after="0" w:line="252"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provided, that the Holder’s right to receive such Distribution shall terminate on, and shall not be held in abeyance for any period subsequent to the Termination Date.</w:t>
      </w:r>
    </w:p>
    <w:p>
      <w:pPr>
        <w:spacing w:after="0" w:line="89" w:lineRule="exact"/>
        <w:rPr>
          <w:rFonts w:ascii="Times New Roman" w:cs="Times New Roman" w:eastAsia="Times New Roman" w:hAnsi="Times New Roman"/>
          <w:sz w:val="18"/>
          <w:szCs w:val="18"/>
          <w:color w:val="auto"/>
        </w:rPr>
      </w:pPr>
    </w:p>
    <w:p>
      <w:pPr>
        <w:ind w:right="20" w:firstLine="419"/>
        <w:spacing w:after="0" w:line="258"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(and all of its Subsidiaries, taken as a whole), directly or indirectly, in one or more related transactions effects any merger or consolidation of the Company with or into another Person (other than for the purpose of changing the Company’s name and/or the jurisdiction of incorporation of the Company or a holding company for the Company), (ii) the Company, directly or indirectly, effects any sale, lease, license, assignment, transfer, conveyance or other disposition of all or substantially all of its assets in one or a</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require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Stock acquirable and receivable upon exercise of this Warrant (without regard to any limitations on the exercise of this Warrant) prior to such Fundamental Transaction, and with an exercise price which</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84" w:lineRule="exact"/>
        <w:rPr>
          <w:sz w:val="20"/>
          <w:szCs w:val="20"/>
          <w:color w:val="auto"/>
        </w:rPr>
      </w:pPr>
    </w:p>
    <w:p>
      <w:pPr>
        <w:ind w:right="40" w:firstLine="419"/>
        <w:spacing w:after="0" w:line="266" w:lineRule="auto"/>
        <w:tabs>
          <w:tab w:leader="none" w:pos="5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0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540" w:firstLine="408"/>
        <w:spacing w:after="0" w:line="253" w:lineRule="auto"/>
        <w:tabs>
          <w:tab w:leader="none" w:pos="11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5" w:name="page16"/>
    <w:bookmarkEnd w:id="15"/>
    <w:p>
      <w:pPr>
        <w:ind w:left="540"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right="20" w:firstLine="419"/>
        <w:spacing w:after="0" w:line="256"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right="60" w:firstLine="419"/>
        <w:spacing w:after="0" w:line="258"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ind w:right="120" w:firstLine="419"/>
        <w:spacing w:after="0" w:line="261"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60" w:firstLine="419"/>
        <w:spacing w:after="0" w:line="258"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17" w:name="page18"/>
    <w:bookmarkEnd w:id="17"/>
    <w:p>
      <w:pPr>
        <w:ind w:right="400" w:firstLine="419"/>
        <w:spacing w:after="0" w:line="312" w:lineRule="auto"/>
        <w:tabs>
          <w:tab w:leader="none" w:pos="60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share capital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540"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right="340" w:firstLine="419"/>
        <w:spacing w:after="0" w:line="282" w:lineRule="auto"/>
        <w:tabs>
          <w:tab w:leader="none" w:pos="6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such Holder.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left="580" w:hanging="161"/>
        <w:spacing w:after="0"/>
        <w:tabs>
          <w:tab w:leader="none" w:pos="5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7"/>
          <w:szCs w:val="17"/>
          <w:color w:val="auto"/>
        </w:rPr>
      </w:pPr>
    </w:p>
    <w:p>
      <w:pPr>
        <w:ind w:firstLine="419"/>
        <w:spacing w:after="0" w:line="266" w:lineRule="auto"/>
        <w:tabs>
          <w:tab w:leader="none" w:pos="6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53" w:lineRule="exact"/>
        <w:rPr>
          <w:rFonts w:ascii="Times New Roman" w:cs="Times New Roman" w:eastAsia="Times New Roman" w:hAnsi="Times New Roman"/>
          <w:sz w:val="18"/>
          <w:szCs w:val="18"/>
          <w:color w:val="auto"/>
        </w:rPr>
      </w:pPr>
    </w:p>
    <w:p>
      <w:pPr>
        <w:ind w:right="800" w:firstLine="419"/>
        <w:spacing w:after="0" w:line="282" w:lineRule="auto"/>
        <w:tabs>
          <w:tab w:leader="none" w:pos="6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Facsimile and Electronic Signatures</w:t>
      </w:r>
      <w:r>
        <w:rPr>
          <w:rFonts w:ascii="Times New Roman" w:cs="Times New Roman" w:eastAsia="Times New Roman" w:hAnsi="Times New Roman"/>
          <w:sz w:val="18"/>
          <w:szCs w:val="18"/>
          <w:color w:val="auto"/>
        </w:rPr>
        <w:t>. Facsimile and other electronically scanned and transmitted signatures, including by email attachment, shall be deemed originals for all purposes of this Warrant.</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20" w:name="page21"/>
    <w:bookmarkEnd w:id="2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Gerard Michel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21" w:name="page22"/>
    <w:bookmarkEnd w:id="2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DELCATH SYSTEMS, INC.</w:t>
      </w:r>
    </w:p>
    <w:p>
      <w:pPr>
        <w:spacing w:after="0" w:line="117" w:lineRule="exact"/>
        <w:rPr>
          <w:sz w:val="20"/>
          <w:szCs w:val="20"/>
          <w:color w:val="auto"/>
        </w:rPr>
      </w:pPr>
    </w:p>
    <w:p>
      <w:pPr>
        <w:ind w:right="100" w:firstLine="987"/>
        <w:spacing w:after="0" w:line="28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right="380" w:firstLine="8"/>
        <w:spacing w:after="0" w:line="266" w:lineRule="auto"/>
        <w:tabs>
          <w:tab w:leader="none" w:pos="15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274320</wp:posOffset>
            </wp:positionV>
            <wp:extent cx="1999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420370</wp:posOffset>
            </wp:positionV>
            <wp:extent cx="1999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99615"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848995</wp:posOffset>
            </wp:positionV>
            <wp:extent cx="1999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99615"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1277620</wp:posOffset>
            </wp:positionV>
            <wp:extent cx="1999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987"/>
        <w:spacing w:after="0" w:line="282"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17145</wp:posOffset>
            </wp:positionV>
            <wp:extent cx="5589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18415</wp:posOffset>
            </wp:positionV>
            <wp:extent cx="4217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17145</wp:posOffset>
            </wp:positionV>
            <wp:extent cx="5134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17145</wp:posOffset>
            </wp:positionV>
            <wp:extent cx="5203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17145</wp:posOffset>
            </wp:positionV>
            <wp:extent cx="65322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ectPr>
          <w:pgSz w:w="11900" w:h="16838" w:orient="portrait"/>
          <w:cols w:equalWidth="0" w:num="1">
            <w:col w:w="10800"/>
          </w:cols>
          <w:pgMar w:left="440" w:top="266" w:right="6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-7620</wp:posOffset>
            </wp:positionV>
            <wp:extent cx="2085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-7620</wp:posOffset>
            </wp:positionV>
            <wp:extent cx="2142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2490"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7, 2022, between Delcath Systems,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 or Regulation S (“</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promulgated thereunder, or National Instrument 45-106 — Prospectus Exemptions (NI 45-106), as applicable, the Company desires to issue and sell to each Purchaser, and each Purchaser, severally and not jointly, desires to purchase from the Company, securities of the Company as more fully described in this Agreement.</w:t>
      </w:r>
    </w:p>
    <w:p>
      <w:pPr>
        <w:spacing w:after="0" w:line="180"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Section 2.1.</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ectPr>
          <w:pgSz w:w="11900" w:h="16838" w:orient="portrait"/>
          <w:cols w:equalWidth="0" w:num="1">
            <w:col w:w="11020"/>
          </w:cols>
          <w:pgMar w:left="440" w:top="117" w:right="439" w:bottom="1440" w:gutter="0" w:footer="0" w:header="0"/>
        </w:sectPr>
      </w:pPr>
    </w:p>
    <w:bookmarkStart w:id="24" w:name="page25"/>
    <w:bookmarkEnd w:id="24"/>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54" w:lineRule="exact"/>
        <w:rPr>
          <w:sz w:val="20"/>
          <w:szCs w:val="20"/>
          <w:color w:val="auto"/>
        </w:rPr>
      </w:pPr>
    </w:p>
    <w:p>
      <w:pPr>
        <w:jc w:val="both"/>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 with offices located at 55 Hudson Yards, New York, NY 10001-2157.</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117"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72"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registering for resale all Shares and Warrant Shares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or under other applicable securities laws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ectPr>
          <w:pgSz w:w="11900" w:h="16838" w:orient="portrait"/>
          <w:cols w:equalWidth="0" w:num="1">
            <w:col w:w="10520"/>
          </w:cols>
          <w:pgMar w:left="880" w:top="270" w:right="4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or to extend the term of such securities (other than pursuant to anti-dilution or similar provisions in outstanding on the date hereof), and (c) securities issued pursuant to acquisitions or strategic transactions approved by a majority of the non-employee directors of the Company, acting in good faith, provided that such securities are issued (1) as “restricted securities” (as defined in Rule 144) and carry no registration rights that require or permit the filing of any registration statement in connection therewith during the prohibition period in Section 4.12(a) herein, or (2) in a registered transaction, provided, in each case, that any such issuance shall only be to Person(s) (or to the equity holders of such Person(s)) which is, itself or through its subsidiaries, is an operating company or an owner of an asset that the majority of the non-employee directors, acting in good faith, have deemed to be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3.1(jj).</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3.1(jj).</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ectPr>
          <w:pgSz w:w="11900" w:h="16838" w:orient="portrait"/>
          <w:cols w:equalWidth="0" w:num="1">
            <w:col w:w="10540"/>
          </w:cols>
          <w:pgMar w:left="880" w:top="270" w:right="47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Instrument 45-106</w:t>
      </w:r>
      <w:r>
        <w:rPr>
          <w:rFonts w:ascii="Times New Roman" w:cs="Times New Roman" w:eastAsia="Times New Roman" w:hAnsi="Times New Roman"/>
          <w:sz w:val="18"/>
          <w:szCs w:val="18"/>
          <w:color w:val="auto"/>
        </w:rPr>
        <w:t>” means the Canadian Securities Administrators’ Instrument 45-106 — Prospectus Exemptions (NI 45-106).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Paper Certificate Purchaser</w:t>
      </w:r>
      <w:r>
        <w:rPr>
          <w:rFonts w:ascii="Times New Roman" w:cs="Times New Roman" w:eastAsia="Times New Roman" w:hAnsi="Times New Roman"/>
          <w:sz w:val="18"/>
          <w:szCs w:val="18"/>
          <w:color w:val="auto"/>
        </w:rPr>
        <w:t>” shall have the meaning ascribed to such term in Section 2.2(a)(ii).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$2.90.</w:t>
      </w:r>
    </w:p>
    <w:p>
      <w:pPr>
        <w:spacing w:after="0" w:line="117"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3.1(jj).</w:t>
      </w:r>
    </w:p>
    <w:p>
      <w:pPr>
        <w:spacing w:after="0" w:line="117" w:lineRule="exact"/>
        <w:rPr>
          <w:sz w:val="20"/>
          <w:szCs w:val="20"/>
          <w:color w:val="auto"/>
        </w:rPr>
      </w:pPr>
    </w:p>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right="5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Warrant Shares.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ectPr>
          <w:pgSz w:w="11900" w:h="16838" w:orient="portrait"/>
          <w:cols w:equalWidth="0" w:num="1">
            <w:col w:w="10500"/>
          </w:cols>
          <w:pgMar w:left="880" w:top="270" w:right="519" w:bottom="1440" w:gutter="0" w:footer="0" w:header="0"/>
        </w:sectPr>
      </w:pPr>
    </w:p>
    <w:bookmarkStart w:id="27" w:name="page28"/>
    <w:bookmarkEnd w:id="27"/>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 w:right="320" w:firstLine="423"/>
        <w:spacing w:after="0" w:line="276" w:lineRule="auto"/>
        <w:rPr>
          <w:sz w:val="20"/>
          <w:szCs w:val="20"/>
          <w:color w:val="auto"/>
        </w:rPr>
      </w:pPr>
      <w:r>
        <w:rPr>
          <w:rFonts w:ascii="Times New Roman" w:cs="Times New Roman" w:eastAsia="Times New Roman" w:hAnsi="Times New Roman"/>
          <w:sz w:val="17"/>
          <w:szCs w:val="17"/>
          <w:color w:val="auto"/>
        </w:rPr>
        <w:t xml:space="preserve">“Second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Paper Certificate Purchasers’ obligations to pay the Subscription Amount and</w:t>
      </w:r>
    </w:p>
    <w:p>
      <w:pPr>
        <w:spacing w:after="0" w:line="1" w:lineRule="exact"/>
        <w:rPr>
          <w:sz w:val="20"/>
          <w:szCs w:val="20"/>
          <w:color w:val="auto"/>
        </w:rPr>
      </w:pPr>
    </w:p>
    <w:p>
      <w:pPr>
        <w:ind w:left="424" w:right="3380" w:hanging="424"/>
        <w:spacing w:after="0" w:line="365"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deliver the Securities, in each case, have been satisfied or waived.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Warrant Shares.</w:t>
      </w:r>
    </w:p>
    <w:p>
      <w:pPr>
        <w:spacing w:after="0" w:line="54" w:lineRule="exact"/>
        <w:rPr>
          <w:sz w:val="20"/>
          <w:szCs w:val="20"/>
          <w:color w:val="auto"/>
        </w:rPr>
      </w:pPr>
    </w:p>
    <w:p>
      <w:pPr>
        <w:ind w:left="4"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left="4"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and/or Warrants purchased hereunder as specified below such Purchaser’s name on the signature page of this Agreement and next to the heading “Subscription Amount,” in United States dollars and in immediately available funds (minus, if applicable, a Purchaser’s aggregate exercise price of the Warrants, which amounts shall be paid as and when such Warrants are exercised).</w:t>
      </w:r>
    </w:p>
    <w:p>
      <w:pPr>
        <w:spacing w:after="0" w:line="72" w:lineRule="exact"/>
        <w:rPr>
          <w:sz w:val="20"/>
          <w:szCs w:val="20"/>
          <w:color w:val="auto"/>
        </w:rPr>
      </w:pPr>
    </w:p>
    <w:p>
      <w:pPr>
        <w:ind w:left="4"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on Schedule 3.1(a), and shall, where applicable, also include any direct or indirect subsidiary of the Company formed or acquired after the date hereof.</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ind w:left="4" w:right="1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 OTCQB or OTCQX, or the “Pink Sheets” published by OTC Markets Group, Inc. (or any successors to any of the foregoing).</w:t>
      </w:r>
    </w:p>
    <w:p>
      <w:pPr>
        <w:spacing w:after="0" w:line="72" w:lineRule="exact"/>
        <w:rPr>
          <w:sz w:val="20"/>
          <w:szCs w:val="20"/>
          <w:color w:val="auto"/>
        </w:rPr>
      </w:pPr>
    </w:p>
    <w:p>
      <w:pPr>
        <w:ind w:left="4"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Registration Rights Agreement, all exhibits and schedules thereto and hereto and any other documents or agreements executed in connection with the transactions contemplated hereunder.</w:t>
      </w:r>
    </w:p>
    <w:p>
      <w:pPr>
        <w:sectPr>
          <w:pgSz w:w="11900" w:h="16838" w:orient="portrait"/>
          <w:cols w:equalWidth="0" w:num="1">
            <w:col w:w="10544"/>
          </w:cols>
          <w:pgMar w:left="876" w:top="270" w:right="479" w:bottom="1440" w:gutter="0" w:footer="0" w:header="0"/>
        </w:sectPr>
      </w:pPr>
    </w:p>
    <w:bookmarkStart w:id="28" w:name="page29"/>
    <w:bookmarkEnd w:id="28"/>
    <w:p>
      <w:pPr>
        <w:ind w:left="440" w:right="580" w:firstLine="423"/>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American Stock Transfer &amp; Trust Company, LLC, the current transfer agent of the Company, with a mailing address of 6201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Brooklyn, NY 11219, and any successor transfer agent of the Company.</w:t>
      </w:r>
    </w:p>
    <w:p>
      <w:pPr>
        <w:spacing w:after="0" w:line="1" w:lineRule="exact"/>
        <w:rPr>
          <w:sz w:val="20"/>
          <w:szCs w:val="20"/>
          <w:color w:val="auto"/>
        </w:rPr>
      </w:pPr>
    </w:p>
    <w:p>
      <w:pPr>
        <w:ind w:left="440" w:firstLine="42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3" w:lineRule="exact"/>
        <w:rPr>
          <w:sz w:val="20"/>
          <w:szCs w:val="20"/>
          <w:color w:val="auto"/>
        </w:rPr>
      </w:pPr>
    </w:p>
    <w:p>
      <w:pPr>
        <w:ind w:left="440"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the Common Stock pre-funded purchase warrants delivered to the applicable Purchasers at the Closing in accordance with Section 2.2(a) hereof, which Warrants shall be immediately exercisable until exercised in full,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Purchase Price</w:t>
      </w:r>
      <w:r>
        <w:rPr>
          <w:rFonts w:ascii="Times New Roman" w:cs="Times New Roman" w:eastAsia="Times New Roman" w:hAnsi="Times New Roman"/>
          <w:sz w:val="18"/>
          <w:szCs w:val="18"/>
          <w:color w:val="auto"/>
        </w:rPr>
        <w:t>” equals $2.89 subject to adjustment for reverse and forward stock splits, stock dividends, stock combinations and other similar transactions of the Common Stock that occur after the date of this Agreement and prior to the Closing Date.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 On the Closing Date, upon the terms and subject to the conditions set forth herein, the Company agrees to sell, and the Purchasers, severally and not jointly, agree to purchase, up to an aggregate of $3,807,498.88 of Shares and Warrants; and (ii) on the Second Closing Date, upon the terms and subject to the conditions set forth herein, the Company agrees to sell, and the Paper Certificate Purchasers, severally and not jointly, agree to purchase, up to an aggregate of $2,394,280.60 of Shares.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Warrants at the</w:t>
      </w:r>
    </w:p>
    <w:p>
      <w:pPr>
        <w:sectPr>
          <w:pgSz w:w="11900" w:h="16838" w:orient="portrait"/>
          <w:cols w:equalWidth="0" w:num="1">
            <w:col w:w="11020"/>
          </w:cols>
          <w:pgMar w:left="440" w:top="270" w:right="439" w:bottom="1440" w:gutter="0" w:footer="0" w:header="0"/>
        </w:sectPr>
      </w:pPr>
    </w:p>
    <w:bookmarkStart w:id="29" w:name="page30"/>
    <w:bookmarkEnd w:id="2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Purchase Price in such manner to result in the same aggregate purchase price being paid by such Purchaser to the Company. The “Beneficial Ownership Limitation” shall be 4.99% (or, at the election of the Purchaser, 9.99%) of the number of Common Stock outstanding immediately after giving effect to the issuance of the Shares on the Closing Date. Each Purchaser shall deliver to the Company, via wire transfer, immediately available funds equal to such Purchaser’s Subscription Amount as set forth on the signature page hereto executed by such Purchaser, and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as the parties shall mutually agree.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60" w:firstLine="419"/>
        <w:spacing w:after="0" w:line="282"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and the Second Closing Date, as applicable, the Company shall deliver or cause to be delivered to each applicable Purchaser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a form reasonably acceptable to the applicable Purchasers;</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56" w:lineRule="auto"/>
        <w:tabs>
          <w:tab w:leader="none" w:pos="16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Closing Date, a copy of the irrevocable instructions to the Transfer Agent instructing the Transfer Agent to deliver, on an expedited basis, a certificate or book entry statement evidencing a number of Shares equal to such Purchaser’s Subscription Amount divided by the Per Share Purchase Price, registered in the name of such Purchaser or, with respect to the Second Closing Date, a certificate from the Company representing such number of Shares equal to such Purchaser’s Subscription Amount divided by the Per Share Purchase Price, registered in the name of such Purchaser (such Purchaser receiving a certificate from the Company, a “</w:t>
      </w:r>
      <w:r>
        <w:rPr>
          <w:rFonts w:ascii="Times New Roman" w:cs="Times New Roman" w:eastAsia="Times New Roman" w:hAnsi="Times New Roman"/>
          <w:sz w:val="18"/>
          <w:szCs w:val="18"/>
          <w:u w:val="single" w:color="auto"/>
          <w:color w:val="auto"/>
        </w:rPr>
        <w:t>Paper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Purchaser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980" w:right="140" w:firstLine="408"/>
        <w:spacing w:after="0" w:line="261" w:lineRule="auto"/>
        <w:tabs>
          <w:tab w:leader="none" w:pos="16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Warrants pursuant to Section 2.1, a Warrant registered in the name of such Purchaser to purchase up to a number of shares of Common Stock equal to the portion of such Purchaser’s Subscription Amount applicable to the Warrants divided by the Warrant Purchase Price, with an exercise price equal to $0.01, subject to adjustment therein (such original Warrant may be delivered within two Trading Days after the Closing Date);</w:t>
      </w:r>
    </w:p>
    <w:p>
      <w:pPr>
        <w:spacing w:after="0" w:line="71"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an officer of the Company;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ectPr>
          <w:pgSz w:w="11900" w:h="16838" w:orient="portrait"/>
          <w:cols w:equalWidth="0" w:num="1">
            <w:col w:w="10960"/>
          </w:cols>
          <w:pgMar w:left="440" w:top="270" w:right="499" w:bottom="1440" w:gutter="0" w:footer="0" w:header="0"/>
        </w:sectPr>
      </w:pPr>
    </w:p>
    <w:bookmarkStart w:id="30" w:name="page31"/>
    <w:bookmarkEnd w:id="30"/>
    <w:p>
      <w:pPr>
        <w:ind w:left="1160" w:hanging="212"/>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Purchaser’s Subscription Amount by wire transfer to the account specified in the Company’s wire instructions;</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117" w:lineRule="exact"/>
        <w:rPr>
          <w:rFonts w:ascii="Times New Roman" w:cs="Times New Roman" w:eastAsia="Times New Roman" w:hAnsi="Times New Roman"/>
          <w:sz w:val="18"/>
          <w:szCs w:val="18"/>
          <w:color w:val="auto"/>
        </w:rPr>
      </w:pPr>
    </w:p>
    <w:p>
      <w:pPr>
        <w:ind w:left="540" w:right="600" w:firstLine="408"/>
        <w:spacing w:after="0" w:line="282" w:lineRule="auto"/>
        <w:tabs>
          <w:tab w:leader="none" w:pos="12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Accredited Investor Questionnaire and, if applicable, the Risk Acknowledgment for Individual Accredited Investors (Form 45-106F9).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right="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Adverse Effect, in all respects) when made and, as applicable, on the Closing Date and the Second Closing Date of the representations and warranties of the Purchasers contained herein (unless as of a specific date therein in which case they shall be accurate as of such date);</w:t>
      </w:r>
    </w:p>
    <w:p>
      <w:pPr>
        <w:spacing w:after="0" w:line="49" w:lineRule="exact"/>
        <w:rPr>
          <w:rFonts w:ascii="Times New Roman" w:cs="Times New Roman" w:eastAsia="Times New Roman" w:hAnsi="Times New Roman"/>
          <w:sz w:val="18"/>
          <w:szCs w:val="18"/>
          <w:color w:val="auto"/>
        </w:rPr>
      </w:pPr>
    </w:p>
    <w:p>
      <w:pPr>
        <w:ind w:left="540" w:right="520" w:firstLine="408"/>
        <w:spacing w:after="0" w:line="282" w:lineRule="auto"/>
        <w:tabs>
          <w:tab w:leader="none" w:pos="120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or the Second Closing Date, as applicable,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as applicable, on the Closing Date and the Second Closing Date, of the representations and warranties of the Company contained herein (unless as of a specific date therein in which case they shall be accurate as of such date);</w:t>
      </w:r>
    </w:p>
    <w:p>
      <w:pPr>
        <w:spacing w:after="0" w:line="73" w:lineRule="exact"/>
        <w:rPr>
          <w:rFonts w:ascii="Times New Roman" w:cs="Times New Roman" w:eastAsia="Times New Roman" w:hAnsi="Times New Roman"/>
          <w:sz w:val="18"/>
          <w:szCs w:val="18"/>
          <w:color w:val="auto"/>
        </w:rPr>
      </w:pPr>
    </w:p>
    <w:p>
      <w:pPr>
        <w:ind w:left="540" w:right="60" w:firstLine="408"/>
        <w:spacing w:after="0" w:line="282" w:lineRule="auto"/>
        <w:tabs>
          <w:tab w:leader="none" w:pos="120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or the Second Closing Date, as applicable, shall have been performed;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ectPr>
          <w:pgSz w:w="11900" w:h="16838" w:orient="portrait"/>
          <w:cols w:equalWidth="0" w:num="1">
            <w:col w:w="10560"/>
          </w:cols>
          <w:pgMar w:left="880" w:top="270" w:right="459" w:bottom="1440" w:gutter="0" w:footer="0" w:header="0"/>
        </w:sectPr>
      </w:pPr>
    </w:p>
    <w:bookmarkStart w:id="31" w:name="page32"/>
    <w:bookmarkEnd w:id="31"/>
    <w:p>
      <w:pPr>
        <w:ind w:left="980" w:firstLine="408"/>
        <w:spacing w:after="0" w:line="253" w:lineRule="auto"/>
        <w:tabs>
          <w:tab w:leader="none" w:pos="1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date hereof to the Closing Date and the Second Closing Date, as applicable, trading in the shares of Common Stock shall not have been suspended by the Commission or the Company’s principal Trading Market, and, at any time prior to the Closing Date and the Second Closing Date, as applicable,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 the Second Closing Date, as applicable; provided, however, that “stay at home”, “shelter-in-place” or any other similar orders or restrictions at the direction of any governmental authority shall not be deemed to by a material adverse change so long as the electronic funds transfer systems (including for wire transfers) of commercial banks in The City of New York generally are open for use by customers on such day.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filed prior to the date of this Agreement (without giving effect to any amendment to any such SEC Report filed on or after the date hereof and excluding any risk factor disclosures contained under the heading “Risk Factors,” any disclosure of risks included in any “forward-looking statements” disclaimer or any other statements that are similarly cautionary, predictive or forward-looking in nature; it being further agreed that any information disclosed in any such SEC Document shall be deemed disclosure only with respect to a Section of this Agreement to which the relevance of such information is reasonably apparent to the Company and the Purchasers from the text of such information contained in such SEC Report) and the Disclosure Schedules, which Disclosure Schedules shall be deemed a part of this Agreement, the Company hereby makes the following representations and warranties to each Purchaser:</w:t>
      </w:r>
    </w:p>
    <w:p>
      <w:pPr>
        <w:spacing w:after="0" w:line="81" w:lineRule="exact"/>
        <w:rPr>
          <w:sz w:val="20"/>
          <w:szCs w:val="20"/>
          <w:color w:val="auto"/>
        </w:rPr>
      </w:pPr>
    </w:p>
    <w:p>
      <w:pPr>
        <w:ind w:left="440" w:right="80" w:firstLine="419"/>
        <w:spacing w:after="0" w:line="258" w:lineRule="auto"/>
        <w:tabs>
          <w:tab w:leader="none" w:pos="11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Neither the Company nor any Subsidiary is in violation or default of any of the</w:t>
      </w:r>
    </w:p>
    <w:p>
      <w:pPr>
        <w:sectPr>
          <w:pgSz w:w="11900" w:h="16838" w:orient="portrait"/>
          <w:cols w:equalWidth="0" w:num="1">
            <w:col w:w="11000"/>
          </w:cols>
          <w:pgMar w:left="440" w:top="270" w:right="459" w:bottom="1440" w:gutter="0" w:footer="0" w:header="0"/>
        </w:sectPr>
      </w:pPr>
    </w:p>
    <w:bookmarkStart w:id="32" w:name="page33"/>
    <w:bookmarkEnd w:id="32"/>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80" w:lineRule="exact"/>
        <w:rPr>
          <w:sz w:val="20"/>
          <w:szCs w:val="20"/>
          <w:color w:val="auto"/>
        </w:rPr>
      </w:pPr>
    </w:p>
    <w:p>
      <w:pPr>
        <w:ind w:right="60" w:firstLine="419"/>
        <w:spacing w:after="0" w:line="253" w:lineRule="auto"/>
        <w:tabs>
          <w:tab w:leader="none" w:pos="6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w:t>
      </w:r>
    </w:p>
    <w:p>
      <w:pPr>
        <w:sectPr>
          <w:pgSz w:w="11900" w:h="16838" w:orient="portrait"/>
          <w:cols w:equalWidth="0" w:num="1">
            <w:col w:w="10560"/>
          </w:cols>
          <w:pgMar w:left="880" w:top="270" w:right="459" w:bottom="1440" w:gutter="0" w:footer="0" w:header="0"/>
        </w:sectPr>
      </w:pPr>
    </w:p>
    <w:bookmarkStart w:id="33" w:name="page34"/>
    <w:bookmarkEnd w:id="3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72" w:lineRule="exact"/>
        <w:rPr>
          <w:sz w:val="20"/>
          <w:szCs w:val="20"/>
          <w:color w:val="auto"/>
        </w:rPr>
      </w:pPr>
    </w:p>
    <w:p>
      <w:pPr>
        <w:ind w:right="100" w:firstLine="419"/>
        <w:spacing w:after="0" w:line="255" w:lineRule="auto"/>
        <w:tabs>
          <w:tab w:leader="none" w:pos="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(iv) the filing of Form D with the Commission,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79" w:lineRule="exact"/>
        <w:rPr>
          <w:rFonts w:ascii="Times New Roman" w:cs="Times New Roman" w:eastAsia="Times New Roman" w:hAnsi="Times New Roman"/>
          <w:sz w:val="18"/>
          <w:szCs w:val="18"/>
          <w:color w:val="auto"/>
        </w:rPr>
      </w:pPr>
    </w:p>
    <w:p>
      <w:pPr>
        <w:ind w:right="140" w:firstLine="419"/>
        <w:spacing w:after="0" w:line="253"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in the SEC Reports and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of the Disclosure Schedule.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w:t>
      </w:r>
    </w:p>
    <w:p>
      <w:pPr>
        <w:sectPr>
          <w:pgSz w:w="11900" w:h="16838" w:orient="portrait"/>
          <w:cols w:equalWidth="0" w:num="1">
            <w:col w:w="10580"/>
          </w:cols>
          <w:pgMar w:left="880" w:top="270" w:right="439" w:bottom="1440" w:gutter="0" w:footer="0" w:header="0"/>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the Company to adjust the exercise, conversion, exchange or reset price under any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2" w:lineRule="exact"/>
        <w:rPr>
          <w:sz w:val="20"/>
          <w:szCs w:val="20"/>
          <w:color w:val="auto"/>
        </w:rPr>
      </w:pPr>
    </w:p>
    <w:p>
      <w:pPr>
        <w:ind w:right="20" w:firstLine="419"/>
        <w:spacing w:after="0" w:line="25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ectPr>
          <w:pgSz w:w="11900" w:h="16838" w:orient="portrait"/>
          <w:cols w:equalWidth="0" w:num="1">
            <w:col w:w="10560"/>
          </w:cols>
          <w:pgMar w:left="880" w:top="270" w:right="459" w:bottom="1440" w:gutter="0" w:footer="0" w:header="0"/>
        </w:sectPr>
      </w:pPr>
    </w:p>
    <w:bookmarkStart w:id="35" w:name="page36"/>
    <w:bookmarkEnd w:id="35"/>
    <w:p>
      <w:pPr>
        <w:ind w:left="4" w:firstLine="419"/>
        <w:spacing w:after="0" w:line="272" w:lineRule="auto"/>
        <w:tabs>
          <w:tab w:leader="none" w:pos="64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except as set forth on Schedule 3.1(i),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84" w:lineRule="exact"/>
        <w:rPr>
          <w:rFonts w:ascii="Times New Roman" w:cs="Times New Roman" w:eastAsia="Times New Roman" w:hAnsi="Times New Roman"/>
          <w:sz w:val="18"/>
          <w:szCs w:val="18"/>
          <w:color w:val="auto"/>
        </w:rPr>
      </w:pPr>
    </w:p>
    <w:p>
      <w:pPr>
        <w:ind w:left="4" w:right="20" w:firstLine="419"/>
        <w:spacing w:after="0" w:line="270" w:lineRule="auto"/>
        <w:tabs>
          <w:tab w:leader="none" w:pos="64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Except as reported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68" w:lineRule="exact"/>
        <w:rPr>
          <w:rFonts w:ascii="Times New Roman" w:cs="Times New Roman" w:eastAsia="Times New Roman" w:hAnsi="Times New Roman"/>
          <w:sz w:val="17"/>
          <w:szCs w:val="17"/>
          <w:color w:val="auto"/>
        </w:rPr>
      </w:pPr>
    </w:p>
    <w:p>
      <w:pPr>
        <w:jc w:val="both"/>
        <w:ind w:left="4" w:right="180" w:firstLine="419"/>
        <w:spacing w:after="0" w:line="261"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w:t>
      </w:r>
    </w:p>
    <w:p>
      <w:pPr>
        <w:sectPr>
          <w:pgSz w:w="11900" w:h="16838" w:orient="portrait"/>
          <w:cols w:equalWidth="0" w:num="1">
            <w:col w:w="10584"/>
          </w:cols>
          <w:pgMar w:left="876" w:top="270" w:right="439" w:bottom="1440" w:gutter="0" w:footer="0" w:header="0"/>
        </w:sectPr>
      </w:pPr>
    </w:p>
    <w:bookmarkStart w:id="36" w:name="page37"/>
    <w:bookmarkEnd w:id="36"/>
    <w:p>
      <w:pPr>
        <w:ind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63" w:lineRule="exact"/>
        <w:rPr>
          <w:sz w:val="20"/>
          <w:szCs w:val="20"/>
          <w:color w:val="auto"/>
        </w:rPr>
      </w:pPr>
    </w:p>
    <w:p>
      <w:pPr>
        <w:ind w:firstLine="419"/>
        <w:spacing w:after="0" w:line="254"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ectPr>
          <w:pgSz w:w="11900" w:h="16838" w:orient="portrait"/>
          <w:cols w:equalWidth="0" w:num="1">
            <w:col w:w="10560"/>
          </w:cols>
          <w:pgMar w:left="880" w:top="270" w:right="459" w:bottom="1440" w:gutter="0" w:footer="0" w:header="0"/>
        </w:sectPr>
      </w:pPr>
    </w:p>
    <w:bookmarkStart w:id="37" w:name="page38"/>
    <w:bookmarkEnd w:id="37"/>
    <w:p>
      <w:pPr>
        <w:jc w:val="both"/>
        <w:ind w:left="-419" w:right="20" w:firstLine="419"/>
        <w:spacing w:after="0" w:line="261" w:lineRule="auto"/>
        <w:tabs>
          <w:tab w:leader="none" w:pos="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71" w:lineRule="exact"/>
        <w:rPr>
          <w:rFonts w:ascii="Times New Roman" w:cs="Times New Roman" w:eastAsia="Times New Roman" w:hAnsi="Times New Roman"/>
          <w:sz w:val="18"/>
          <w:szCs w:val="18"/>
          <w:color w:val="auto"/>
        </w:rPr>
      </w:pPr>
    </w:p>
    <w:p>
      <w:pPr>
        <w:ind w:left="-419" w:right="80" w:firstLine="419"/>
        <w:spacing w:after="0" w:line="254" w:lineRule="auto"/>
        <w:tabs>
          <w:tab w:leader="none" w:pos="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left="-419" w:firstLine="419"/>
        <w:spacing w:after="0" w:line="252" w:lineRule="auto"/>
        <w:tabs>
          <w:tab w:leader="none" w:pos="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set forth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except in each case as would not reasonably be expected to have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89" w:lineRule="exact"/>
        <w:rPr>
          <w:rFonts w:ascii="Times New Roman" w:cs="Times New Roman" w:eastAsia="Times New Roman" w:hAnsi="Times New Roman"/>
          <w:sz w:val="18"/>
          <w:szCs w:val="18"/>
          <w:color w:val="auto"/>
        </w:rPr>
      </w:pPr>
    </w:p>
    <w:p>
      <w:pPr>
        <w:ind w:left="-419" w:right="40" w:firstLine="419"/>
        <w:spacing w:after="0" w:line="256" w:lineRule="auto"/>
        <w:tabs>
          <w:tab w:leader="none" w:pos="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for companies of the Company’s size and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material increase in cost.</w:t>
      </w:r>
    </w:p>
    <w:p>
      <w:pPr>
        <w:sectPr>
          <w:pgSz w:w="11900" w:h="16838" w:orient="portrait"/>
          <w:cols w:equalWidth="0" w:num="1">
            <w:col w:w="10141"/>
          </w:cols>
          <w:pgMar w:left="1299" w:top="270" w:right="459" w:bottom="1440" w:gutter="0" w:footer="0" w:header="0"/>
        </w:sectPr>
      </w:pPr>
    </w:p>
    <w:bookmarkStart w:id="38" w:name="page39"/>
    <w:bookmarkEnd w:id="38"/>
    <w:p>
      <w:pPr>
        <w:ind w:left="-419" w:firstLine="419"/>
        <w:spacing w:after="0" w:line="254" w:lineRule="auto"/>
        <w:tabs>
          <w:tab w:leader="none" w:pos="2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80" w:lineRule="exact"/>
        <w:rPr>
          <w:rFonts w:ascii="Times New Roman" w:cs="Times New Roman" w:eastAsia="Times New Roman" w:hAnsi="Times New Roman"/>
          <w:sz w:val="18"/>
          <w:szCs w:val="18"/>
          <w:color w:val="auto"/>
        </w:rPr>
      </w:pPr>
    </w:p>
    <w:p>
      <w:pPr>
        <w:ind w:left="-419" w:firstLine="419"/>
        <w:spacing w:after="0" w:line="268" w:lineRule="auto"/>
        <w:tabs>
          <w:tab w:leader="none" w:pos="23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Internal Accounting Controls</w:t>
      </w:r>
      <w:r>
        <w:rPr>
          <w:rFonts w:ascii="Times New Roman" w:cs="Times New Roman" w:eastAsia="Times New Roman" w:hAnsi="Times New Roman"/>
          <w:sz w:val="17"/>
          <w:szCs w:val="17"/>
          <w:color w:val="auto"/>
        </w:rPr>
        <w:t>. The Company and the Subsidiaries are in compliance, in all material respects, with any and all applicable requirements of the Sarbanes-Oxley Act of 2002 that are effective as of the date hereof and as of the Closing,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material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ectPr>
          <w:pgSz w:w="11900" w:h="16838" w:orient="portrait"/>
          <w:cols w:equalWidth="0" w:num="1">
            <w:col w:w="10141"/>
          </w:cols>
          <w:pgMar w:left="1299" w:top="270" w:right="459" w:bottom="1440" w:gutter="0" w:footer="0" w:header="0"/>
        </w:sectPr>
      </w:pPr>
    </w:p>
    <w:bookmarkStart w:id="39" w:name="page40"/>
    <w:bookmarkEnd w:id="39"/>
    <w:p>
      <w:pPr>
        <w:ind w:left="-419" w:firstLine="419"/>
        <w:spacing w:after="0" w:line="258" w:lineRule="auto"/>
        <w:tabs>
          <w:tab w:leader="none" w:pos="2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3.1(t)</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left="-419" w:right="20" w:firstLine="419"/>
        <w:spacing w:after="0" w:line="266" w:lineRule="auto"/>
        <w:tabs>
          <w:tab w:leader="none" w:pos="2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or other applicable securities laws is required for the offer and sale of the Securities by the Company to the Purchasers as contemplated hereby. The issuance and sale of the Securities hereunder does not contravene the rules and regulations of the Trading Market.</w:t>
      </w:r>
    </w:p>
    <w:p>
      <w:pPr>
        <w:spacing w:after="0" w:line="67" w:lineRule="exact"/>
        <w:rPr>
          <w:rFonts w:ascii="Times New Roman" w:cs="Times New Roman" w:eastAsia="Times New Roman" w:hAnsi="Times New Roman"/>
          <w:sz w:val="18"/>
          <w:szCs w:val="18"/>
          <w:color w:val="auto"/>
        </w:rPr>
      </w:pPr>
    </w:p>
    <w:p>
      <w:pPr>
        <w:jc w:val="both"/>
        <w:ind w:left="-419" w:right="100" w:firstLine="419"/>
        <w:spacing w:after="0" w:line="261" w:lineRule="auto"/>
        <w:tabs>
          <w:tab w:leader="none" w:pos="2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1" w:lineRule="exact"/>
        <w:rPr>
          <w:rFonts w:ascii="Times New Roman" w:cs="Times New Roman" w:eastAsia="Times New Roman" w:hAnsi="Times New Roman"/>
          <w:sz w:val="18"/>
          <w:szCs w:val="18"/>
          <w:color w:val="auto"/>
        </w:rPr>
      </w:pPr>
    </w:p>
    <w:p>
      <w:pPr>
        <w:ind w:left="-419" w:right="20" w:firstLine="419"/>
        <w:spacing w:after="0" w:line="266" w:lineRule="auto"/>
        <w:tabs>
          <w:tab w:leader="none" w:pos="2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3.1(w)</w:t>
      </w:r>
      <w:r>
        <w:rPr>
          <w:rFonts w:ascii="Times New Roman" w:cs="Times New Roman" w:eastAsia="Times New Roman" w:hAnsi="Times New Roman"/>
          <w:sz w:val="18"/>
          <w:szCs w:val="18"/>
          <w:color w:val="auto"/>
        </w:rPr>
        <w:t>, other than to each of the Purchasers pursuant to the Registration Rights Agreement, no Person has any right to cause the Company or any Subsidiary to effect the registration under the Securities Act of any securities of the Company or any Subsidiary.</w:t>
      </w:r>
    </w:p>
    <w:p>
      <w:pPr>
        <w:spacing w:after="0" w:line="67" w:lineRule="exact"/>
        <w:rPr>
          <w:rFonts w:ascii="Times New Roman" w:cs="Times New Roman" w:eastAsia="Times New Roman" w:hAnsi="Times New Roman"/>
          <w:sz w:val="18"/>
          <w:szCs w:val="18"/>
          <w:color w:val="auto"/>
        </w:rPr>
      </w:pPr>
    </w:p>
    <w:p>
      <w:pPr>
        <w:ind w:left="-419" w:right="80" w:firstLine="419"/>
        <w:spacing w:after="0" w:line="258" w:lineRule="auto"/>
        <w:tabs>
          <w:tab w:leader="none" w:pos="2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Except as provided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75" w:lineRule="exact"/>
        <w:rPr>
          <w:rFonts w:ascii="Times New Roman" w:cs="Times New Roman" w:eastAsia="Times New Roman" w:hAnsi="Times New Roman"/>
          <w:sz w:val="18"/>
          <w:szCs w:val="18"/>
          <w:color w:val="auto"/>
        </w:rPr>
      </w:pPr>
    </w:p>
    <w:p>
      <w:pPr>
        <w:ind w:left="-419" w:firstLine="419"/>
        <w:spacing w:after="0" w:line="258" w:lineRule="auto"/>
        <w:tabs>
          <w:tab w:leader="none" w:pos="2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Except as provided in the SEC Reports, the Company is not aware of any applicable control share acquisition, business combination, poison pill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ectPr>
          <w:pgSz w:w="11900" w:h="16838" w:orient="portrait"/>
          <w:cols w:equalWidth="0" w:num="1">
            <w:col w:w="10101"/>
          </w:cols>
          <w:pgMar w:left="1299" w:top="270" w:right="499" w:bottom="1440" w:gutter="0" w:footer="0" w:header="0"/>
        </w:sectPr>
      </w:pPr>
    </w:p>
    <w:bookmarkStart w:id="40" w:name="page41"/>
    <w:bookmarkEnd w:id="40"/>
    <w:p>
      <w:pPr>
        <w:ind w:left="4" w:firstLine="419"/>
        <w:spacing w:after="0" w:line="253" w:lineRule="auto"/>
        <w:tabs>
          <w:tab w:leader="none" w:pos="6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2" w:lineRule="exact"/>
        <w:rPr>
          <w:sz w:val="20"/>
          <w:szCs w:val="20"/>
          <w:color w:val="auto"/>
        </w:rPr>
      </w:pPr>
    </w:p>
    <w:p>
      <w:pPr>
        <w:ind w:left="4" w:right="20" w:firstLine="419"/>
        <w:spacing w:after="0" w:line="270" w:lineRule="auto"/>
        <w:tabs>
          <w:tab w:leader="none" w:pos="7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Integrated Offering</w:t>
      </w:r>
      <w:r>
        <w:rPr>
          <w:rFonts w:ascii="Times New Roman" w:cs="Times New Roman" w:eastAsia="Times New Roman" w:hAnsi="Times New Roman"/>
          <w:sz w:val="17"/>
          <w:szCs w:val="17"/>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shareholder approval provisions of any Trading Market on which any of the securities of the Company are listed or designated.</w:t>
      </w:r>
    </w:p>
    <w:p>
      <w:pPr>
        <w:spacing w:after="0" w:line="98"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7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and the Second Closing Date, as applicable,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w:t>
      </w:r>
    </w:p>
    <w:p>
      <w:pPr>
        <w:sectPr>
          <w:pgSz w:w="11900" w:h="16838" w:orient="portrait"/>
          <w:cols w:equalWidth="0" w:num="1">
            <w:col w:w="10564"/>
          </w:cols>
          <w:pgMar w:left="876" w:top="270" w:right="459" w:bottom="1440" w:gutter="0" w:footer="0" w:header="0"/>
        </w:sectPr>
      </w:pPr>
    </w:p>
    <w:bookmarkStart w:id="41" w:name="page42"/>
    <w:bookmarkEnd w:id="41"/>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86" w:lineRule="exact"/>
        <w:rPr>
          <w:sz w:val="20"/>
          <w:szCs w:val="20"/>
          <w:color w:val="auto"/>
        </w:rPr>
      </w:pPr>
    </w:p>
    <w:p>
      <w:pPr>
        <w:ind w:firstLine="419"/>
        <w:spacing w:after="0" w:line="254" w:lineRule="auto"/>
        <w:tabs>
          <w:tab w:leader="none" w:pos="7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such taxes, if any, as are being contested in good faith and as to which adequate reserves have been established by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Directed Selling Efforts</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No directed selling efforts (as defined in Rule 902 of Regulation S) have been made by any of the Company, any of its affiliates or any person acting on its behalf with respect to any Securities and the Company and its authorized persons has complied and will comply with the “offering restrictions” requirements of Regulation S, to the extent applicable. The Company has offered the Securities for sale only to the Purchasers, who are either (i) an “accredited investors” within the meaning of Rule 501 under the Securities Act or (ii) neither a “U.S. Person” nor “acting for the account or benefit of a U.S. Person” (each within the meaning of Regulation S), located outside the United States and an “accredited investor” within the meaning of National Instrument 45-106.</w:t>
      </w:r>
    </w:p>
    <w:p>
      <w:pPr>
        <w:sectPr>
          <w:pgSz w:w="11900" w:h="16838" w:orient="portrait"/>
          <w:cols w:equalWidth="0" w:num="1">
            <w:col w:w="10560"/>
          </w:cols>
          <w:pgMar w:left="880" w:top="270" w:right="459" w:bottom="1440" w:gutter="0" w:footer="0" w:header="0"/>
        </w:sectPr>
      </w:pPr>
    </w:p>
    <w:bookmarkStart w:id="42" w:name="page43"/>
    <w:bookmarkEnd w:id="42"/>
    <w:p>
      <w:pPr>
        <w:ind w:left="4" w:firstLine="419"/>
        <w:spacing w:after="0" w:line="256" w:lineRule="auto"/>
        <w:tabs>
          <w:tab w:leader="none" w:pos="7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or (iii) failed to disclose fully any contribution made by the Company or any Subsidiary (or made by any person acting on its behalf of which the Company is aware) which is in violation of law.</w:t>
      </w:r>
    </w:p>
    <w:p>
      <w:pPr>
        <w:spacing w:after="0" w:line="79" w:lineRule="exact"/>
        <w:rPr>
          <w:rFonts w:ascii="Times New Roman" w:cs="Times New Roman" w:eastAsia="Times New Roman" w:hAnsi="Times New Roman"/>
          <w:sz w:val="18"/>
          <w:szCs w:val="18"/>
          <w:color w:val="auto"/>
        </w:rPr>
      </w:pPr>
    </w:p>
    <w:p>
      <w:pPr>
        <w:jc w:val="both"/>
        <w:ind w:left="4" w:right="240" w:firstLine="419"/>
        <w:spacing w:after="0" w:line="261" w:lineRule="auto"/>
        <w:tabs>
          <w:tab w:leader="none" w:pos="70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Marcum LLP. To the knowledge and belief of the Company, such accounting firm is a registered public accounting firm as required by the Exchange Act.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2021.</w:t>
      </w:r>
    </w:p>
    <w:p>
      <w:pPr>
        <w:spacing w:after="0" w:line="71"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7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83" w:lineRule="exact"/>
        <w:rPr>
          <w:rFonts w:ascii="Times New Roman" w:cs="Times New Roman" w:eastAsia="Times New Roman" w:hAnsi="Times New Roman"/>
          <w:sz w:val="18"/>
          <w:szCs w:val="18"/>
          <w:color w:val="auto"/>
        </w:rPr>
      </w:pPr>
    </w:p>
    <w:p>
      <w:pPr>
        <w:ind w:left="4" w:right="240" w:firstLine="419"/>
        <w:spacing w:after="0" w:line="270" w:lineRule="auto"/>
        <w:tabs>
          <w:tab w:leader="none" w:pos="77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Purchaser’s Trading Activity</w:t>
      </w:r>
      <w:r>
        <w:rPr>
          <w:rFonts w:ascii="Times New Roman" w:cs="Times New Roman" w:eastAsia="Times New Roman" w:hAnsi="Times New Roman"/>
          <w:sz w:val="17"/>
          <w:szCs w:val="17"/>
          <w:color w:val="auto"/>
        </w:rPr>
        <w:t>. Anything in this Agreement or elsewhere herein to the contrary notwithstanding (except for Sections 3.2(e), 4.1 and 4.15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w:t>
      </w:r>
    </w:p>
    <w:p>
      <w:pPr>
        <w:spacing w:after="0" w:line="2" w:lineRule="exact"/>
        <w:rPr>
          <w:rFonts w:ascii="Times New Roman" w:cs="Times New Roman" w:eastAsia="Times New Roman" w:hAnsi="Times New Roman"/>
          <w:sz w:val="17"/>
          <w:szCs w:val="17"/>
          <w:color w:val="auto"/>
        </w:rPr>
      </w:pPr>
    </w:p>
    <w:p>
      <w:pPr>
        <w:ind w:left="4" w:right="40" w:hanging="4"/>
        <w:spacing w:after="0" w:line="251" w:lineRule="auto"/>
        <w:tabs>
          <w:tab w:leader="none" w:pos="2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so long as conducted in accordance with applicable law, including Regulation S, if appliable, do not constitute a breach of any of the Transaction Documents.</w:t>
      </w:r>
    </w:p>
    <w:p>
      <w:pPr>
        <w:sectPr>
          <w:pgSz w:w="11900" w:h="16838" w:orient="portrait"/>
          <w:cols w:equalWidth="0" w:num="1">
            <w:col w:w="10584"/>
          </w:cols>
          <w:pgMar w:left="876" w:top="270" w:right="439" w:bottom="1440" w:gutter="0" w:footer="0" w:header="0"/>
        </w:sectPr>
      </w:pPr>
    </w:p>
    <w:bookmarkStart w:id="43" w:name="page44"/>
    <w:bookmarkEnd w:id="43"/>
    <w:p>
      <w:pPr>
        <w:ind w:left="4" w:firstLine="419"/>
        <w:spacing w:after="0" w:line="261" w:lineRule="auto"/>
        <w:tabs>
          <w:tab w:leader="none" w:pos="6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71" w:lineRule="exact"/>
        <w:rPr>
          <w:rFonts w:ascii="Times New Roman" w:cs="Times New Roman" w:eastAsia="Times New Roman" w:hAnsi="Times New Roman"/>
          <w:sz w:val="18"/>
          <w:szCs w:val="18"/>
          <w:color w:val="auto"/>
        </w:rPr>
      </w:pPr>
    </w:p>
    <w:p>
      <w:pPr>
        <w:ind w:left="4" w:right="20" w:firstLine="419"/>
        <w:spacing w:after="0" w:line="251" w:lineRule="auto"/>
        <w:tabs>
          <w:tab w:leader="none" w:pos="6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w:t>
      </w:r>
    </w:p>
    <w:p>
      <w:pPr>
        <w:spacing w:after="0" w:line="11" w:lineRule="exact"/>
        <w:rPr>
          <w:rFonts w:ascii="Times New Roman" w:cs="Times New Roman" w:eastAsia="Times New Roman" w:hAnsi="Times New Roman"/>
          <w:sz w:val="18"/>
          <w:szCs w:val="18"/>
          <w:color w:val="auto"/>
        </w:rPr>
      </w:pPr>
    </w:p>
    <w:p>
      <w:pPr>
        <w:ind w:left="4" w:hanging="4"/>
        <w:spacing w:after="0" w:line="252" w:lineRule="auto"/>
        <w:tabs>
          <w:tab w:leader="none" w:pos="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ectPr>
          <w:pgSz w:w="11900" w:h="16838" w:orient="portrait"/>
          <w:cols w:equalWidth="0" w:num="1">
            <w:col w:w="10544"/>
          </w:cols>
          <w:pgMar w:left="876" w:top="270" w:right="479" w:bottom="1440" w:gutter="0" w:footer="0" w:header="0"/>
        </w:sectPr>
      </w:pPr>
    </w:p>
    <w:bookmarkStart w:id="44" w:name="page45"/>
    <w:bookmarkEnd w:id="44"/>
    <w:p>
      <w:pPr>
        <w:ind w:left="341" w:hanging="341"/>
        <w:spacing w:after="0"/>
        <w:tabs>
          <w:tab w:leader="none" w:pos="3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19" w:right="180" w:firstLine="419"/>
        <w:spacing w:after="0" w:line="256" w:lineRule="auto"/>
        <w:tabs>
          <w:tab w:leader="none" w:pos="2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79" w:lineRule="exact"/>
        <w:rPr>
          <w:rFonts w:ascii="Times New Roman" w:cs="Times New Roman" w:eastAsia="Times New Roman" w:hAnsi="Times New Roman"/>
          <w:sz w:val="18"/>
          <w:szCs w:val="18"/>
          <w:color w:val="auto"/>
        </w:rPr>
      </w:pPr>
    </w:p>
    <w:p>
      <w:pPr>
        <w:jc w:val="both"/>
        <w:ind w:left="-419" w:right="260" w:firstLine="419"/>
        <w:spacing w:after="0" w:line="266" w:lineRule="auto"/>
        <w:tabs>
          <w:tab w:leader="none" w:pos="4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19" w:right="220" w:firstLine="419"/>
        <w:spacing w:after="0" w:line="282" w:lineRule="auto"/>
        <w:tabs>
          <w:tab w:leader="none" w:pos="3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53" w:lineRule="exact"/>
        <w:rPr>
          <w:rFonts w:ascii="Times New Roman" w:cs="Times New Roman" w:eastAsia="Times New Roman" w:hAnsi="Times New Roman"/>
          <w:sz w:val="18"/>
          <w:szCs w:val="18"/>
          <w:color w:val="auto"/>
        </w:rPr>
      </w:pPr>
    </w:p>
    <w:p>
      <w:pPr>
        <w:ind w:left="-419" w:firstLine="419"/>
        <w:spacing w:after="0" w:line="258" w:lineRule="auto"/>
        <w:tabs>
          <w:tab w:leader="none" w:pos="3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and the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rFonts w:ascii="Times New Roman" w:cs="Times New Roman" w:eastAsia="Times New Roman" w:hAnsi="Times New Roman"/>
          <w:sz w:val="18"/>
          <w:szCs w:val="18"/>
          <w:color w:val="auto"/>
        </w:rPr>
      </w:pPr>
    </w:p>
    <w:p>
      <w:pPr>
        <w:ind w:left="-419" w:right="40" w:firstLine="419"/>
        <w:spacing w:after="0" w:line="254" w:lineRule="auto"/>
        <w:tabs>
          <w:tab w:leader="none" w:pos="3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ectPr>
          <w:pgSz w:w="11900" w:h="16838" w:orient="portrait"/>
          <w:cols w:equalWidth="0" w:num="1">
            <w:col w:w="10141"/>
          </w:cols>
          <w:pgMar w:left="1299" w:top="270" w:right="459" w:bottom="1440" w:gutter="0" w:footer="0" w:header="0"/>
        </w:sectPr>
      </w:pPr>
    </w:p>
    <w:bookmarkStart w:id="45" w:name="page46"/>
    <w:bookmarkEnd w:id="45"/>
    <w:p>
      <w:pPr>
        <w:ind w:left="440" w:right="140" w:firstLine="419"/>
        <w:spacing w:after="0" w:line="282" w:lineRule="auto"/>
        <w:tabs>
          <w:tab w:leader="none" w:pos="12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6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Foreign Issuer Status</w:t>
      </w:r>
      <w:r>
        <w:rPr>
          <w:rFonts w:ascii="Times New Roman" w:cs="Times New Roman" w:eastAsia="Times New Roman" w:hAnsi="Times New Roman"/>
          <w:sz w:val="18"/>
          <w:szCs w:val="18"/>
          <w:color w:val="auto"/>
        </w:rPr>
        <w:t>. The Company is a “foreign issuer” as that term is defined in Section 2.15 of Canadian Securities Administrators’ National Instument 45-102.</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xml:space="preserve">. Each Purchaser, for itself and for no other Purchaser, hereby represents and warrants as of the date hereof and as of the Closing Date </w:t>
      </w:r>
      <w:r>
        <w:rPr>
          <w:rFonts w:ascii="Times New Roman" w:cs="Times New Roman" w:eastAsia="Times New Roman" w:hAnsi="Times New Roman"/>
          <w:sz w:val="18"/>
          <w:szCs w:val="18"/>
          <w:u w:val="single" w:color="auto"/>
          <w:color w:val="auto"/>
        </w:rPr>
        <w:t>and the Second Closing Date, as applicable</w:t>
      </w:r>
      <w:r>
        <w:rPr>
          <w:rFonts w:ascii="Times New Roman" w:cs="Times New Roman" w:eastAsia="Times New Roman" w:hAnsi="Times New Roman"/>
          <w:sz w:val="18"/>
          <w:szCs w:val="18"/>
          <w:color w:val="auto"/>
        </w:rPr>
        <w:t>, to the Company as follows (unless as of a specific date therein, in which case they shall be accurate as of such date):</w:t>
      </w:r>
    </w:p>
    <w:p>
      <w:pPr>
        <w:spacing w:after="0" w:line="68" w:lineRule="exact"/>
        <w:rPr>
          <w:sz w:val="20"/>
          <w:szCs w:val="20"/>
          <w:color w:val="auto"/>
        </w:rPr>
      </w:pPr>
    </w:p>
    <w:p>
      <w:pPr>
        <w:ind w:left="440" w:firstLine="419"/>
        <w:spacing w:after="0" w:line="253" w:lineRule="auto"/>
        <w:tabs>
          <w:tab w:leader="none" w:pos="11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ectPr>
          <w:pgSz w:w="11900" w:h="16838" w:orient="portrait"/>
          <w:cols w:equalWidth="0" w:num="1">
            <w:col w:w="11000"/>
          </w:cols>
          <w:pgMar w:left="440" w:top="270" w:right="459" w:bottom="1440" w:gutter="0" w:footer="0" w:header="0"/>
        </w:sectPr>
      </w:pPr>
    </w:p>
    <w:bookmarkStart w:id="46" w:name="page47"/>
    <w:bookmarkEnd w:id="46"/>
    <w:p>
      <w:pPr>
        <w:ind w:left="-419" w:right="80" w:firstLine="419"/>
        <w:spacing w:after="0" w:line="258" w:lineRule="auto"/>
        <w:tabs>
          <w:tab w:leader="none" w:pos="2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Status</w:t>
      </w:r>
      <w:r>
        <w:rPr>
          <w:rFonts w:ascii="Times New Roman" w:cs="Times New Roman" w:eastAsia="Times New Roman" w:hAnsi="Times New Roman"/>
          <w:sz w:val="18"/>
          <w:szCs w:val="18"/>
          <w:color w:val="auto"/>
        </w:rPr>
        <w:t xml:space="preserve">. At the time such Purchaser was offered the Securities, it was, and as of the date hereof it is, and on each date on which it exercises any Warrants, it will be either (i) an “accredited investor” as defined in Rule 501(a)(1), (a)(2), (a)(3), (a)(7) or (a)(8) under the Securities Act, or (ii) neither a “U.S. Person” nor “acting for the account or benefit of a U.S. Person” (each within the meaning of Regulation S), located outside the United States and an “accredited investor” as defined in Section 1.1 of National Instrument 45-106, or Section 73.3 of the </w:t>
      </w: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(Ontario), as applicable.</w:t>
      </w:r>
    </w:p>
    <w:p>
      <w:pPr>
        <w:spacing w:after="0" w:line="75" w:lineRule="exact"/>
        <w:rPr>
          <w:rFonts w:ascii="Times New Roman" w:cs="Times New Roman" w:eastAsia="Times New Roman" w:hAnsi="Times New Roman"/>
          <w:sz w:val="18"/>
          <w:szCs w:val="18"/>
          <w:color w:val="auto"/>
        </w:rPr>
      </w:pPr>
    </w:p>
    <w:p>
      <w:pPr>
        <w:jc w:val="both"/>
        <w:ind w:left="-419" w:right="120" w:firstLine="419"/>
        <w:spacing w:after="0" w:line="261" w:lineRule="auto"/>
        <w:tabs>
          <w:tab w:leader="none" w:pos="2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left="-419" w:right="20" w:firstLine="419"/>
        <w:spacing w:after="0" w:line="258" w:lineRule="auto"/>
        <w:tabs>
          <w:tab w:leader="none" w:pos="2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 Directed Selling Efforts</w:t>
      </w:r>
      <w:r>
        <w:rPr>
          <w:rFonts w:ascii="Times New Roman" w:cs="Times New Roman" w:eastAsia="Times New Roman" w:hAnsi="Times New Roman"/>
          <w:sz w:val="18"/>
          <w:szCs w:val="18"/>
          <w:color w:val="auto"/>
        </w:rPr>
        <w:t>. Such Purchaser is not purchasing the Securities as a result of any (i)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 or (ii) directed selling efforts (as defined in Rule 902 of Regulation S) by any of the Company, any of its affiliates or any person acting on its behalf with respect to any Securities.</w:t>
      </w:r>
    </w:p>
    <w:p>
      <w:pPr>
        <w:spacing w:after="0" w:line="75"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2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80" w:lineRule="exact"/>
        <w:rPr>
          <w:rFonts w:ascii="Times New Roman" w:cs="Times New Roman" w:eastAsia="Times New Roman" w:hAnsi="Times New Roman"/>
          <w:sz w:val="18"/>
          <w:szCs w:val="18"/>
          <w:color w:val="auto"/>
        </w:rPr>
      </w:pPr>
    </w:p>
    <w:p>
      <w:pPr>
        <w:ind w:left="-419" w:firstLine="419"/>
        <w:spacing w:after="0" w:line="258" w:lineRule="auto"/>
        <w:tabs>
          <w:tab w:leader="none" w:pos="2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w:t>
      </w:r>
    </w:p>
    <w:p>
      <w:pPr>
        <w:sectPr>
          <w:pgSz w:w="11900" w:h="16838" w:orient="portrait"/>
          <w:cols w:equalWidth="0" w:num="1">
            <w:col w:w="10141"/>
          </w:cols>
          <w:pgMar w:left="1299" w:top="270" w:right="459" w:bottom="1440" w:gutter="0" w:footer="0" w:header="0"/>
        </w:sectPr>
      </w:pPr>
    </w:p>
    <w:bookmarkStart w:id="47" w:name="page48"/>
    <w:bookmarkEnd w:id="47"/>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other than as may be limited by applicable securities laws, with respect to locating or borrowing shares in order to effect Short Sales or similar transactions in the future.</w:t>
      </w:r>
    </w:p>
    <w:p>
      <w:pPr>
        <w:spacing w:after="0" w:line="194"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4"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or other applicable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or is in compliance with applicable securities laws.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8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in the following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ectPr>
          <w:pgSz w:w="11900" w:h="16838" w:orient="portrait"/>
          <w:cols w:equalWidth="0" w:num="1">
            <w:col w:w="10960"/>
          </w:cols>
          <w:pgMar w:left="440" w:top="270" w:right="499" w:bottom="1440" w:gutter="0" w:footer="0" w:header="0"/>
        </w:sectPr>
      </w:pPr>
    </w:p>
    <w:bookmarkStart w:id="48" w:name="page49"/>
    <w:bookmarkEnd w:id="48"/>
    <w:p>
      <w:pPr>
        <w:ind w:left="121" w:right="20"/>
        <w:spacing w:after="0" w:line="268"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THIS SECURITY [NOR THE SECURITIES INTO WHICH THIS SECURITY IS EXERCISABLE ] [HAS NOT BEEN ] REGISTERED WITH THE SECURITIES AND EXCHANGE COMMISSION OR THE SECURITIES COMMISSION OF ANY STATE OR WITH ANY SECURITIES REGULATOR IN ANY OTHER JURISDICTION IN RELIANCE UPON AN EXEMPTION FROM REGISTRATION UNDER THE SECURITIES ACT OF 1933, AS AMENDED (THE “SECURITIES ACT”), OR OTHER APPLICABLE SECURITIES LAWS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OR THE REQUIREMENTS OF ANY OTHER APPLICABLE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CANADIAN NATIONAL INSTRUMENT 45-106, OR SECTION 73.3 OF THE SECURITIES ACT (ONTARIO), AS APPLICABLE, OR OTHER LOAN SECURED BY SUCH SECURITIES. HEDGING TRANSACTIONS INVOLVING THE SECURITIES ARE PROHIBITED EXCEPT IN COMPLIANCE WITH THE SECURITIES ACT.</w:t>
      </w:r>
    </w:p>
    <w:p>
      <w:pPr>
        <w:spacing w:after="0" w:line="76" w:lineRule="exact"/>
        <w:rPr>
          <w:sz w:val="20"/>
          <w:szCs w:val="20"/>
          <w:color w:val="auto"/>
        </w:rPr>
      </w:pPr>
    </w:p>
    <w:p>
      <w:pPr>
        <w:ind w:left="-419" w:firstLine="419"/>
        <w:spacing w:after="0" w:line="253" w:lineRule="auto"/>
        <w:tabs>
          <w:tab w:leader="none" w:pos="2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National Instrument 45-106, or Section 73.3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 provided that the Company shall not be required to file more than one prospectus supplement in any one fiscal quarter.</w:t>
      </w:r>
    </w:p>
    <w:p>
      <w:pPr>
        <w:sectPr>
          <w:pgSz w:w="11900" w:h="16838" w:orient="portrait"/>
          <w:cols w:equalWidth="0" w:num="1">
            <w:col w:w="10141"/>
          </w:cols>
          <w:pgMar w:left="1299" w:top="270" w:right="459" w:bottom="1440" w:gutter="0" w:footer="0" w:header="0"/>
        </w:sectPr>
      </w:pPr>
    </w:p>
    <w:bookmarkStart w:id="49" w:name="page50"/>
    <w:bookmarkEnd w:id="49"/>
    <w:p>
      <w:pPr>
        <w:ind w:left="-419" w:firstLine="419"/>
        <w:spacing w:after="0" w:line="252" w:lineRule="auto"/>
        <w:tabs>
          <w:tab w:leader="none" w:pos="2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or other instruments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or (iv) if such legend is not required under applicable requirements of the Securities Act (including judicial interpretations and pronouncements issued by the staff of the Commission) or any other applicable securities laws.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4.1(b), it will, no later than the earlier of (i) two (2) Trading Days and (ii) the number of Trading Days comprising the Standard Settlement Period following the delivery by a Purchaser to the Company or the Transfer Agent of a certificate or other instrument representing Shares or Warrant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or other instrument representing such shares that is free from all restrictive and other legends. The Company may not make any notation on its records or give instructions to the Transfer Agent that enlarge the restrictions on transfer set forth in this Section 4. Certificates or other instruments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or Warrants Shares, as the case may be, issued with a restrictive legend.</w:t>
      </w:r>
    </w:p>
    <w:p>
      <w:pPr>
        <w:spacing w:after="0" w:line="79" w:lineRule="exact"/>
        <w:rPr>
          <w:rFonts w:ascii="Times New Roman" w:cs="Times New Roman" w:eastAsia="Times New Roman" w:hAnsi="Times New Roman"/>
          <w:sz w:val="18"/>
          <w:szCs w:val="18"/>
          <w:color w:val="auto"/>
        </w:rPr>
      </w:pPr>
    </w:p>
    <w:p>
      <w:pPr>
        <w:ind w:left="-419" w:right="20" w:firstLine="419"/>
        <w:spacing w:after="0" w:line="253" w:lineRule="auto"/>
        <w:tabs>
          <w:tab w:leader="none" w:pos="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or Warrant Shares (based on the VWAP of the shares of Common Stock on the date such Securities are submitted to the Transfer Agent) delivered for removal of the restrictive legend and subject to Section 4.1(d),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w:t>
      </w:r>
    </w:p>
    <w:p>
      <w:pPr>
        <w:sectPr>
          <w:pgSz w:w="11900" w:h="16838" w:orient="portrait"/>
          <w:cols w:equalWidth="0" w:num="1">
            <w:col w:w="10121"/>
          </w:cols>
          <w:pgMar w:left="1299" w:top="270" w:right="479" w:bottom="1440" w:gutter="0" w:footer="0" w:header="0"/>
        </w:sectPr>
      </w:pPr>
    </w:p>
    <w:bookmarkStart w:id="50" w:name="page51"/>
    <w:bookmarkEnd w:id="5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total purchase price (including brokerage commissions and other out-of-pocket expenses, if any) for the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clause (ii).</w:t>
      </w:r>
    </w:p>
    <w:p>
      <w:pPr>
        <w:spacing w:after="0" w:line="75" w:lineRule="exact"/>
        <w:rPr>
          <w:sz w:val="20"/>
          <w:szCs w:val="20"/>
          <w:color w:val="auto"/>
        </w:rPr>
      </w:pPr>
    </w:p>
    <w:p>
      <w:pPr>
        <w:ind w:right="20" w:firstLine="419"/>
        <w:spacing w:after="0" w:line="254" w:lineRule="auto"/>
        <w:tabs>
          <w:tab w:leader="none" w:pos="6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including Regulation S, if applicable, and that if Securities are sold pursuant to a Registration Statement, they will be sold in compliance with the plan of distribution set forth therein and the Registration Rights Agreement, and acknowledges that the removal of the restrictive legend from certificates representing Securities as set forth in this Section 4.1 is predicated upon the Company’s reliance upon this understanding and compliance with any other applicable securities laws. If the Securities have been purchased pursuant to exemption from registration under the Securities Act pursuant to Regulation S, the Purchaser will not engage in hedging transactions except in accordance with the terms of this Agreement and in accordance with Regulation S, pursuant to registration under the Securities Act or pursuant to an available exemption from registration under the Securities Act and otherwise in compliance with all applicable securities laws.</w:t>
      </w:r>
    </w:p>
    <w:p>
      <w:pPr>
        <w:spacing w:after="0" w:line="80" w:lineRule="exact"/>
        <w:rPr>
          <w:rFonts w:ascii="Times New Roman" w:cs="Times New Roman" w:eastAsia="Times New Roman" w:hAnsi="Times New Roman"/>
          <w:sz w:val="18"/>
          <w:szCs w:val="18"/>
          <w:color w:val="auto"/>
        </w:rPr>
      </w:pPr>
    </w:p>
    <w:p>
      <w:pPr>
        <w:ind w:right="60" w:firstLine="419"/>
        <w:spacing w:after="0" w:line="261"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comply with the “offering restrictions” requirements of Regulation S and shall refuse to register any transfer of the Securities if, in the sole judgment of the Company, such purported transfer would not be made (i) pursuant to an effective registration statement filed under the Securities Act, or (ii) pursuant to an available exemption from the registration requirements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19"/>
        <w:spacing w:after="0" w:line="261" w:lineRule="auto"/>
        <w:tabs>
          <w:tab w:leader="none" w:pos="6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on the earlier of (1) such time that no Purchaser owns Securities, (2) such time that all of the Shares and Warrant Shares may be sold pursuant to an effective Registration Statement (and so long as such Registration Statement is continuously available for us by the Purchasers), or (3) such time that all of the Shares and Warrant Shares may be sold pursuant to Rule 144 or another exemption from</w:t>
      </w:r>
    </w:p>
    <w:p>
      <w:pPr>
        <w:sectPr>
          <w:pgSz w:w="11900" w:h="16838" w:orient="portrait"/>
          <w:cols w:equalWidth="0" w:num="1">
            <w:col w:w="10560"/>
          </w:cols>
          <w:pgMar w:left="880" w:top="270" w:right="459" w:bottom="1440" w:gutter="0" w:footer="0" w:header="0"/>
        </w:sectPr>
      </w:pPr>
    </w:p>
    <w:bookmarkStart w:id="51" w:name="page52"/>
    <w:bookmarkEnd w:id="51"/>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(in the case of clause (3) without the requirement for the Company to be in compliance with the current public information required under Rule 144 and without volume or manner-of-sale restrictions),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such Purchaser’s Securities that have not been previously sold on the day of a Public Information Failure and on every thirtieth (30th) day thereafter (pro rated for periods totaling less than thirty days) until the earlier of (a) the date such Public Information Failure is cured, (b) such time that such public information is no longer required for the Purchasers to transfer the Shares and Warrant Shares pursuant to Rule 144 or another exemption from registration or (c) such time that such Shares and Warrant Shares may be sold pursuant to an effective Registration Statement.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9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w:t>
      </w:r>
    </w:p>
    <w:p>
      <w:pPr>
        <w:sectPr>
          <w:pgSz w:w="11900" w:h="16838" w:orient="portrait"/>
          <w:cols w:equalWidth="0" w:num="1">
            <w:col w:w="10980"/>
          </w:cols>
          <w:pgMar w:left="440" w:top="270" w:right="479" w:bottom="1440" w:gutter="0" w:footer="0" w:header="0"/>
        </w:sectPr>
      </w:pPr>
    </w:p>
    <w:bookmarkStart w:id="52" w:name="page53"/>
    <w:bookmarkEnd w:id="52"/>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w:t>
      </w:r>
    </w:p>
    <w:p>
      <w:pPr>
        <w:spacing w:after="0" w:line="6" w:lineRule="exact"/>
        <w:rPr>
          <w:sz w:val="20"/>
          <w:szCs w:val="20"/>
          <w:color w:val="auto"/>
        </w:rPr>
      </w:pPr>
    </w:p>
    <w:p>
      <w:pPr>
        <w:ind w:left="4" w:right="820" w:hanging="4"/>
        <w:spacing w:after="0" w:line="290" w:lineRule="auto"/>
        <w:tabs>
          <w:tab w:leader="none" w:pos="26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5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ectPr>
          <w:pgSz w:w="11900" w:h="16838" w:orient="portrait"/>
          <w:cols w:equalWidth="0" w:num="1">
            <w:col w:w="11004"/>
          </w:cols>
          <w:pgMar w:left="436" w:top="270" w:right="459" w:bottom="1440" w:gutter="0" w:footer="0" w:header="0"/>
        </w:sectPr>
      </w:pPr>
    </w:p>
    <w:bookmarkStart w:id="53" w:name="page54"/>
    <w:bookmarkEnd w:id="53"/>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w:t>
      </w:r>
    </w:p>
    <w:p>
      <w:pPr>
        <w:spacing w:after="0" w:line="162"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w:t>
      </w:r>
    </w:p>
    <w:p>
      <w:pPr>
        <w:spacing w:after="0" w:line="10" w:lineRule="exact"/>
        <w:rPr>
          <w:sz w:val="20"/>
          <w:szCs w:val="20"/>
          <w:color w:val="auto"/>
        </w:rPr>
      </w:pPr>
    </w:p>
    <w:p>
      <w:pPr>
        <w:ind w:left="4" w:right="40" w:hanging="4"/>
        <w:spacing w:after="0" w:line="251"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ectPr>
          <w:pgSz w:w="11900" w:h="16838" w:orient="portrait"/>
          <w:cols w:equalWidth="0" w:num="1">
            <w:col w:w="11024"/>
          </w:cols>
          <w:pgMar w:left="436" w:top="270" w:right="439" w:bottom="1440" w:gutter="0" w:footer="0" w:header="0"/>
        </w:sectPr>
      </w:pPr>
    </w:p>
    <w:bookmarkStart w:id="54" w:name="page55"/>
    <w:bookmarkEnd w:id="5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its best efforts to maintain the listing or quotation of the Common Stock on the Trading Market on which it is currently listed, and concurrently with the Closing on the Closing Date or the Second Closing Date,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61"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Effective Date (such applicable period,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neither the Company nor any Subsidiary shall (i) issue, enter into any agreement to issue or announce the issuance or proposed issuance of any shares of Common Stock or (ii) file any registration statement or any amendment or supplement thereto, in each case other than as contemplated pursuant to the Registration Rights Agreement.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the Company shall be prohibited from effecting or entering into an agreement to effect any issuance by the Company or any of its Subsidiaries of Common Stock (or a combination of units thereof) involving a Variable Rate Transaction. “</w:t>
      </w:r>
      <w:r>
        <w:rPr>
          <w:rFonts w:ascii="Times New Roman" w:cs="Times New Roman" w:eastAsia="Times New Roman" w:hAnsi="Times New Roman"/>
          <w:sz w:val="18"/>
          <w:szCs w:val="18"/>
          <w:u w:val="single" w:color="auto"/>
          <w:color w:val="auto"/>
        </w:rPr>
        <w:t>Variable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ectPr>
          <w:pgSz w:w="11900" w:h="16838" w:orient="portrait"/>
          <w:cols w:equalWidth="0" w:num="1">
            <w:col w:w="11020"/>
          </w:cols>
          <w:pgMar w:left="440" w:top="270" w:right="439" w:bottom="1440" w:gutter="0" w:footer="0" w:header="0"/>
        </w:sectPr>
      </w:pPr>
    </w:p>
    <w:bookmarkStart w:id="55" w:name="page56"/>
    <w:bookmarkEnd w:id="55"/>
    <w:p>
      <w:pPr>
        <w:ind w:left="440" w:right="760" w:firstLine="419"/>
        <w:spacing w:after="0" w:line="282"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this Section 4.12 shall not apply in respect of an Exempt Issuance, except that no Variable Rate Transaction shall be an Exempt Issuance.</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who then own Securities.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ectPr>
          <w:pgSz w:w="11900" w:h="16838" w:orient="portrait"/>
          <w:cols w:equalWidth="0" w:num="1">
            <w:col w:w="11000"/>
          </w:cols>
          <w:pgMar w:left="440" w:top="270" w:right="459" w:bottom="1440" w:gutter="0" w:footer="0" w:header="0"/>
        </w:sectPr>
      </w:pPr>
    </w:p>
    <w:bookmarkStart w:id="56" w:name="page57"/>
    <w:bookmarkEnd w:id="56"/>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4.15 </w:t>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applicable Securities as required under Regulation D and to provide a copy thereof, promptly upon request of any Purchaser purchasing the Securities pursuant to Regulation D. The Company shall take such action as the Company shall reasonably determine is necessary in order to obtain an exemption for, or to qualify the Securities for, sale to the Purchasers at the Closing Date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4.17 </w:t>
      </w:r>
      <w:r>
        <w:rPr>
          <w:rFonts w:ascii="Times New Roman" w:cs="Times New Roman" w:eastAsia="Times New Roman" w:hAnsi="Times New Roman"/>
          <w:sz w:val="17"/>
          <w:szCs w:val="17"/>
          <w:u w:val="single" w:color="auto"/>
          <w:color w:val="auto"/>
        </w:rPr>
        <w:t>Canadian Filings</w:t>
      </w:r>
      <w:r>
        <w:rPr>
          <w:rFonts w:ascii="Times New Roman" w:cs="Times New Roman" w:eastAsia="Times New Roman" w:hAnsi="Times New Roman"/>
          <w:sz w:val="17"/>
          <w:szCs w:val="17"/>
          <w:color w:val="auto"/>
        </w:rPr>
        <w:t>. The Company agrees to timely file a report of exemption distribution (Form 45-106F1) with Canadian securities regulators in accordance with the requirements of Part 6 of National Instrument 45-106 and to provide a copy thereof, promptly upon request of the Purchaser.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200" w:firstLine="440"/>
        <w:spacing w:after="0" w:line="23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fifth (5th)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right shall only apply to Paper Certificate Purchasers if the Second Closing Date has not been consummated on or before the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hereof. No such termination pursuant to this Section 5.1 will affect the right of any party to sue for any breach by any other party (or parties).</w:t>
      </w:r>
    </w:p>
    <w:p>
      <w:pPr>
        <w:spacing w:after="0" w:line="20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ectPr>
          <w:pgSz w:w="11900" w:h="16838" w:orient="portrait"/>
          <w:cols w:equalWidth="0" w:num="1">
            <w:col w:w="11000"/>
          </w:cols>
          <w:pgMar w:left="440" w:top="270" w:right="459" w:bottom="1440" w:gutter="0" w:footer="0" w:header="0"/>
        </w:sectPr>
      </w:pPr>
    </w:p>
    <w:bookmarkStart w:id="57" w:name="page58"/>
    <w:bookmarkEnd w:id="57"/>
    <w:p>
      <w:pPr>
        <w:ind w:firstLine="4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6"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No provision of this Agreement may be waived, modified, supplemented or amended except in a written instrument signed, in the case of an amendment, by the Company and Purchasers holding at least 50.1% in interest of the Shares based on the initial Subscription Amounts hereunder (or, prior to the Closing Date and the </w:t>
      </w:r>
      <w:r>
        <w:rPr>
          <w:rFonts w:ascii="Times New Roman" w:cs="Times New Roman" w:eastAsia="Times New Roman" w:hAnsi="Times New Roman"/>
          <w:sz w:val="18"/>
          <w:szCs w:val="18"/>
          <w:u w:val="single" w:color="auto"/>
          <w:color w:val="auto"/>
        </w:rPr>
        <w:t>Second Closing Date, as applicable</w:t>
      </w:r>
      <w:r>
        <w:rPr>
          <w:rFonts w:ascii="Times New Roman" w:cs="Times New Roman" w:eastAsia="Times New Roman" w:hAnsi="Times New Roman"/>
          <w:sz w:val="18"/>
          <w:szCs w:val="18"/>
          <w:color w:val="auto"/>
        </w:rPr>
        <w:t>,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ectPr>
          <w:pgSz w:w="11900" w:h="16838" w:orient="portrait"/>
          <w:cols w:equalWidth="0" w:num="1">
            <w:col w:w="10980"/>
          </w:cols>
          <w:pgMar w:left="440" w:top="270" w:right="479" w:bottom="1440" w:gutter="0" w:footer="0" w:header="0"/>
        </w:sectPr>
      </w:pPr>
    </w:p>
    <w:bookmarkStart w:id="58" w:name="page59"/>
    <w:bookmarkEnd w:id="58"/>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ectPr>
          <w:pgSz w:w="11900" w:h="16838" w:orient="portrait"/>
          <w:cols w:equalWidth="0" w:num="1">
            <w:col w:w="11020"/>
          </w:cols>
          <w:pgMar w:left="440" w:top="270" w:right="439" w:bottom="1440" w:gutter="0" w:footer="0" w:header="0"/>
        </w:sectPr>
      </w:pPr>
    </w:p>
    <w:bookmarkStart w:id="59" w:name="page60"/>
    <w:bookmarkEnd w:id="59"/>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other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ectPr>
          <w:pgSz w:w="11900" w:h="16838" w:orient="portrait"/>
          <w:cols w:equalWidth="0" w:num="1">
            <w:col w:w="11020"/>
          </w:cols>
          <w:pgMar w:left="440" w:top="270" w:right="439" w:bottom="1440" w:gutter="0" w:footer="0" w:header="0"/>
        </w:sectPr>
      </w:pPr>
    </w:p>
    <w:bookmarkStart w:id="60" w:name="page61"/>
    <w:bookmarkEnd w:id="60"/>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70" w:right="519" w:bottom="1440" w:gutter="0" w:footer="0" w:header="0"/>
        </w:sectPr>
      </w:pPr>
    </w:p>
    <w:bookmarkStart w:id="61" w:name="page62"/>
    <w:bookmarkEnd w:id="6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DELCATH SYSTEMS, INC.</w:t>
            </w:r>
          </w:p>
        </w:tc>
        <w:tc>
          <w:tcPr>
            <w:tcW w:w="78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8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r>
      <w:tr>
        <w:trPr>
          <w:trHeight w:val="225"/>
        </w:trPr>
        <w:tc>
          <w:tcPr>
            <w:tcW w:w="42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bl>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for purchaser follows</w:t>
      </w:r>
      <w:r>
        <w:rPr>
          <w:rFonts w:ascii="Times New Roman" w:cs="Times New Roman" w:eastAsia="Times New Roman" w:hAnsi="Times New Roman"/>
          <w:sz w:val="18"/>
          <w:szCs w:val="18"/>
          <w:color w:val="auto"/>
        </w:rPr>
        <w:t>.]</w:t>
      </w:r>
    </w:p>
    <w:p>
      <w:pPr>
        <w:sectPr>
          <w:pgSz w:w="11900" w:h="16838" w:orient="portrait"/>
          <w:cols w:equalWidth="0" w:num="1">
            <w:col w:w="10820"/>
          </w:cols>
          <w:pgMar w:left="440" w:top="270" w:right="639" w:bottom="1440" w:gutter="0" w:footer="0" w:header="0"/>
        </w:sectPr>
      </w:pPr>
    </w:p>
    <w:bookmarkStart w:id="62" w:name="page63"/>
    <w:bookmarkEnd w:id="62"/>
    <w:p>
      <w:pPr>
        <w:jc w:val="center"/>
        <w:ind w:right="-2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Purchaser signature pages to DCTH Securities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Exemption from Registration Upon Which the Purchaser is Relying</w:t>
      </w:r>
    </w:p>
    <w:p>
      <w:pPr>
        <w:spacing w:after="0" w:line="131" w:lineRule="exact"/>
        <w:rPr>
          <w:sz w:val="20"/>
          <w:szCs w:val="20"/>
          <w:color w:val="auto"/>
        </w:rPr>
      </w:pPr>
    </w:p>
    <w:p>
      <w:pPr>
        <w:ind w:left="424" w:hanging="424"/>
        <w:spacing w:after="0"/>
        <w:tabs>
          <w:tab w:leader="none" w:pos="424"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Regulation S (pursuant to Sections 1(c)(ii) and 1(e)(ii) of the Securities Purchase Agreement); or</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Regulation D (pursuant to Sections 1(c)(i) and 1(e)(i) of the Securities Purchase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 _________________</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88"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ectPr>
          <w:pgSz w:w="11900" w:h="16838" w:orient="portrait"/>
          <w:cols w:equalWidth="0" w:num="1">
            <w:col w:w="10724"/>
          </w:cols>
          <w:pgMar w:left="436" w:top="268" w:right="7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7, 2022, by and between Delcath Systems,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117" w:lineRule="exact"/>
        <w:rPr>
          <w:sz w:val="20"/>
          <w:szCs w:val="20"/>
          <w:color w:val="auto"/>
        </w:rPr>
      </w:pPr>
    </w:p>
    <w:p>
      <w:pPr>
        <w:ind w:left="620" w:hanging="184"/>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117" w:lineRule="exact"/>
        <w:rPr>
          <w:sz w:val="20"/>
          <w:szCs w:val="20"/>
          <w:color w:val="auto"/>
        </w:rPr>
      </w:pPr>
    </w:p>
    <w:p>
      <w:pPr>
        <w:ind w:left="980" w:right="20" w:firstLine="401"/>
        <w:spacing w:after="0" w:line="2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hereof (or, in the event of a “full review” by the Commission,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hereof) and with respect to any additional Registration Statements which may be required pursuant to Section 2(c) or Section 3(c),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 Registration Statement is required to be filed hereunder (or, in the event of a “full review” by the Commission,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117" w:lineRule="exact"/>
        <w:rPr>
          <w:sz w:val="20"/>
          <w:szCs w:val="20"/>
          <w:color w:val="auto"/>
        </w:rPr>
      </w:pPr>
    </w:p>
    <w:p>
      <w:pPr>
        <w:ind w:left="980" w:right="180" w:firstLine="401"/>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hereof; provided, however, that if such day falls on a day that is not a Trading Day, then the Filing Date shall be the next succeeding Trading Day,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ectPr>
          <w:pgSz w:w="11900" w:h="16838" w:orient="portrait"/>
          <w:cols w:equalWidth="0" w:num="1">
            <w:col w:w="11020"/>
          </w:cols>
          <w:pgMar w:left="440" w:top="117" w:right="439"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117" w:lineRule="exact"/>
        <w:rPr>
          <w:sz w:val="20"/>
          <w:szCs w:val="20"/>
          <w:color w:val="auto"/>
        </w:rPr>
      </w:pPr>
    </w:p>
    <w:p>
      <w:pPr>
        <w:ind w:firstLine="40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9" w:lineRule="exact"/>
        <w:rPr>
          <w:sz w:val="20"/>
          <w:szCs w:val="20"/>
          <w:color w:val="auto"/>
        </w:rPr>
      </w:pPr>
    </w:p>
    <w:p>
      <w:pPr>
        <w:ind w:right="160" w:firstLine="40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means, as of any date of determination, (a) all Shares, (b) all Warrant Shares then issued and issuable upon exercise of the Warrants (assuming on such date the Warrants are exercised in full without regard to any exercise limitations therein) and</w:t>
      </w:r>
    </w:p>
    <w:p>
      <w:pPr>
        <w:spacing w:after="0" w:line="1" w:lineRule="exact"/>
        <w:rPr>
          <w:sz w:val="20"/>
          <w:szCs w:val="20"/>
          <w:color w:val="auto"/>
        </w:rPr>
      </w:pPr>
    </w:p>
    <w:p>
      <w:pPr>
        <w:jc w:val="both"/>
        <w:ind w:right="120" w:firstLine="7"/>
        <w:spacing w:after="0" w:line="250"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w:t>
      </w:r>
    </w:p>
    <w:p>
      <w:pPr>
        <w:spacing w:after="0" w:line="1" w:lineRule="exact"/>
        <w:rPr>
          <w:rFonts w:ascii="Times New Roman" w:cs="Times New Roman" w:eastAsia="Times New Roman" w:hAnsi="Times New Roman"/>
          <w:sz w:val="18"/>
          <w:szCs w:val="18"/>
          <w:color w:val="auto"/>
        </w:rPr>
      </w:pPr>
    </w:p>
    <w:p>
      <w:pPr>
        <w:ind w:right="160" w:firstLine="7"/>
        <w:spacing w:after="0" w:line="253"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Registrable Securities become eligible for resale without volume or manner-of-sale restrictions and without current public information pursuant to Rule 144, as reasonably determined by the Company, upon the advice of counsel to the Company.</w:t>
      </w:r>
    </w:p>
    <w:p>
      <w:pPr>
        <w:spacing w:after="0" w:line="1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20"/>
          </w:cols>
          <w:pgMar w:left="1420" w:top="270" w:right="459" w:bottom="1440" w:gutter="0" w:footer="0" w:header="0"/>
        </w:sectPr>
      </w:pPr>
    </w:p>
    <w:bookmarkStart w:id="67" w:name="page68"/>
    <w:bookmarkEnd w:id="67"/>
    <w:p>
      <w:pPr>
        <w:ind w:left="544" w:right="6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72" w:lineRule="exact"/>
        <w:rPr>
          <w:sz w:val="20"/>
          <w:szCs w:val="20"/>
          <w:color w:val="auto"/>
        </w:rPr>
      </w:pPr>
    </w:p>
    <w:p>
      <w:pPr>
        <w:ind w:left="544"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117" w:lineRule="exact"/>
        <w:rPr>
          <w:sz w:val="20"/>
          <w:szCs w:val="20"/>
          <w:color w:val="auto"/>
        </w:rPr>
      </w:pPr>
    </w:p>
    <w:p>
      <w:pPr>
        <w:ind w:left="544" w:right="10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54" w:lineRule="exact"/>
        <w:rPr>
          <w:sz w:val="20"/>
          <w:szCs w:val="20"/>
          <w:color w:val="auto"/>
        </w:rPr>
      </w:pPr>
    </w:p>
    <w:p>
      <w:pPr>
        <w:ind w:left="184" w:hanging="184"/>
        <w:spacing w:after="0"/>
        <w:tabs>
          <w:tab w:leader="none" w:pos="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52" w:lineRule="auto"/>
        <w:tabs>
          <w:tab w:leader="none" w:pos="1189"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60%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w:t>
      </w:r>
    </w:p>
    <w:p>
      <w:pPr>
        <w:spacing w:after="0" w:line="2" w:lineRule="exact"/>
        <w:rPr>
          <w:rFonts w:ascii="Times New Roman" w:cs="Times New Roman" w:eastAsia="Times New Roman" w:hAnsi="Times New Roman"/>
          <w:sz w:val="18"/>
          <w:szCs w:val="18"/>
          <w:color w:val="auto"/>
        </w:rPr>
      </w:pPr>
    </w:p>
    <w:p>
      <w:pPr>
        <w:ind w:left="544" w:right="40" w:firstLine="7"/>
        <w:spacing w:after="0" w:line="255" w:lineRule="auto"/>
        <w:tabs>
          <w:tab w:leader="none" w:pos="8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sold without volume or manner-of-sale restrictions pursuant to Rule 144 and without the requirement for the Company to be in compliance with the current public information requirement under Rule 144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request in writing effectiveness of a Registration Statement as of 5:00 p.m. (New York City time) on a Trading</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70" w:right="479" w:bottom="1440" w:gutter="0" w:footer="0" w:header="0"/>
        </w:sectPr>
      </w:pPr>
    </w:p>
    <w:bookmarkStart w:id="68" w:name="page69"/>
    <w:bookmarkEnd w:id="6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10:00 p.m.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79" w:lineRule="exact"/>
        <w:rPr>
          <w:sz w:val="20"/>
          <w:szCs w:val="20"/>
          <w:color w:val="auto"/>
        </w:rPr>
      </w:pPr>
    </w:p>
    <w:p>
      <w:pPr>
        <w:ind w:right="20" w:firstLine="408"/>
        <w:spacing w:after="0" w:line="253" w:lineRule="auto"/>
        <w:tabs>
          <w:tab w:leader="none" w:pos="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with respect to filing on Form S-3 or other appropriate form, and subject to the provisions of</w:t>
      </w:r>
    </w:p>
    <w:p>
      <w:pPr>
        <w:spacing w:after="0" w:line="5" w:lineRule="exact"/>
        <w:rPr>
          <w:rFonts w:ascii="Times New Roman" w:cs="Times New Roman" w:eastAsia="Times New Roman" w:hAnsi="Times New Roman"/>
          <w:sz w:val="18"/>
          <w:szCs w:val="18"/>
          <w:color w:val="auto"/>
        </w:rPr>
      </w:pPr>
    </w:p>
    <w:p>
      <w:pPr>
        <w:ind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7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92" w:lineRule="exact"/>
        <w:rPr>
          <w:sz w:val="20"/>
          <w:szCs w:val="20"/>
          <w:color w:val="auto"/>
        </w:rPr>
      </w:pPr>
    </w:p>
    <w:p>
      <w:pPr>
        <w:ind w:left="440" w:hanging="439"/>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 and</w:t>
      </w:r>
    </w:p>
    <w:p>
      <w:pPr>
        <w:spacing w:after="0" w:line="130" w:lineRule="exact"/>
        <w:rPr>
          <w:rFonts w:ascii="Times New Roman" w:cs="Times New Roman" w:eastAsia="Times New Roman" w:hAnsi="Times New Roman"/>
          <w:sz w:val="18"/>
          <w:szCs w:val="18"/>
          <w:color w:val="auto"/>
        </w:rPr>
      </w:pPr>
    </w:p>
    <w:p>
      <w:pPr>
        <w:ind w:left="440" w:right="200" w:hanging="439"/>
        <w:spacing w:after="0" w:line="266" w:lineRule="auto"/>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Shares and the Pre-Funded Warrants (applied, in the case that some Shares and the Pre-Funded Warrants may be registered, to the Holders on a pro rata basis based on the total number of unregistered Shares and the Pre-Funded Warrants held by such Holders).</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20" w:top="270" w:right="479" w:bottom="1440" w:gutter="0" w:footer="0" w:header="0"/>
        </w:sectPr>
      </w:pPr>
    </w:p>
    <w:bookmarkStart w:id="69" w:name="page70"/>
    <w:bookmarkEnd w:id="69"/>
    <w:p>
      <w:pPr>
        <w:ind w:left="43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79" w:lineRule="exact"/>
        <w:rPr>
          <w:sz w:val="20"/>
          <w:szCs w:val="20"/>
          <w:color w:val="auto"/>
        </w:rPr>
      </w:pPr>
    </w:p>
    <w:p>
      <w:pPr>
        <w:ind w:left="-7" w:firstLine="408"/>
        <w:spacing w:after="0" w:line="251" w:lineRule="auto"/>
        <w:tabs>
          <w:tab w:leader="none" w:pos="6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fifteen (15)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fifteen (15) consecutive calendar days or more than an aggregate of twenty (20)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fifteen (15) calendar day period is exceeded, and for purpose of clause (v) the date on which such fifteen (15) or twenty</w:t>
      </w:r>
    </w:p>
    <w:p>
      <w:pPr>
        <w:spacing w:after="0" w:line="10" w:lineRule="exact"/>
        <w:rPr>
          <w:rFonts w:ascii="Times New Roman" w:cs="Times New Roman" w:eastAsia="Times New Roman" w:hAnsi="Times New Roman"/>
          <w:sz w:val="18"/>
          <w:szCs w:val="18"/>
          <w:color w:val="auto"/>
        </w:rPr>
      </w:pPr>
    </w:p>
    <w:p>
      <w:pPr>
        <w:ind w:left="-7" w:right="80" w:firstLine="7"/>
        <w:spacing w:after="0" w:line="252" w:lineRule="auto"/>
        <w:tabs>
          <w:tab w:leader="none" w:pos="3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 period, as applicable, is exceeded being referred to as an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8.0% of the aggregate Subscription Amount</w:t>
      </w:r>
    </w:p>
    <w:p>
      <w:pPr>
        <w:spacing w:after="0" w:line="122"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3"/>
          </w:cols>
          <w:pgMar w:left="1427" w:top="270" w:right="459" w:bottom="1440" w:gutter="0" w:footer="0" w:header="0"/>
        </w:sectPr>
      </w:pPr>
    </w:p>
    <w:bookmarkStart w:id="70" w:name="page71"/>
    <w:bookmarkEnd w:id="70"/>
    <w:p>
      <w:pPr>
        <w:ind w:left="56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paid by such Holder pursuant to the Purchase Agreement for the Registrable Securities then held by such Holder. If the Company fails to pay any partial liquidated damages pursuant to this Section in full within seven (7)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93" w:lineRule="exact"/>
        <w:rPr>
          <w:sz w:val="20"/>
          <w:szCs w:val="20"/>
          <w:color w:val="auto"/>
        </w:rPr>
      </w:pPr>
    </w:p>
    <w:p>
      <w:pPr>
        <w:ind w:left="540" w:hanging="532"/>
        <w:spacing w:after="0" w:line="256"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 Unless the Company is not then eligible to register for resale the Registrable Securities on Form S-3, the Initial Registration Statement shall be filed on Form S-3.</w:t>
      </w:r>
    </w:p>
    <w:p>
      <w:pPr>
        <w:spacing w:after="0" w:line="92"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 underwriter without the prior written consent of such Holder.</w:t>
      </w:r>
    </w:p>
    <w:p>
      <w:pPr>
        <w:spacing w:after="0" w:line="53" w:lineRule="exact"/>
        <w:rPr>
          <w:rFonts w:ascii="Times New Roman" w:cs="Times New Roman" w:eastAsia="Times New Roman" w:hAnsi="Times New Roman"/>
          <w:sz w:val="18"/>
          <w:szCs w:val="18"/>
          <w:color w:val="auto"/>
        </w:rPr>
      </w:pPr>
    </w:p>
    <w:p>
      <w:pPr>
        <w:ind w:left="200" w:hanging="184"/>
        <w:spacing w:after="0"/>
        <w:tabs>
          <w:tab w:leader="none" w:pos="2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117" w:lineRule="exact"/>
        <w:rPr>
          <w:sz w:val="20"/>
          <w:szCs w:val="20"/>
          <w:color w:val="auto"/>
        </w:rPr>
      </w:pPr>
    </w:p>
    <w:p>
      <w:pPr>
        <w:ind w:left="560" w:right="20" w:firstLine="408"/>
        <w:spacing w:after="0" w:line="253" w:lineRule="auto"/>
        <w:tabs>
          <w:tab w:leader="none" w:pos="12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and (iii) use its best efforts to reflect in each such document, when so filed with the Commission, such comments as each Holder reasonably proposed.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71" w:name="page72"/>
    <w:bookmarkEnd w:id="71"/>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fourth (4th) Trading Day following the date on which such Holder receives draft materials in accordance with this Section.</w:t>
      </w:r>
    </w:p>
    <w:p>
      <w:pPr>
        <w:spacing w:after="0" w:line="72" w:lineRule="exact"/>
        <w:rPr>
          <w:sz w:val="20"/>
          <w:szCs w:val="20"/>
          <w:color w:val="auto"/>
        </w:rPr>
      </w:pPr>
    </w:p>
    <w:p>
      <w:pPr>
        <w:ind w:right="20" w:firstLine="408"/>
        <w:spacing w:after="0" w:line="253" w:lineRule="auto"/>
        <w:tabs>
          <w:tab w:leader="none" w:pos="6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79" w:lineRule="exact"/>
        <w:rPr>
          <w:rFonts w:ascii="Times New Roman" w:cs="Times New Roman" w:eastAsia="Times New Roman" w:hAnsi="Times New Roman"/>
          <w:sz w:val="18"/>
          <w:szCs w:val="18"/>
          <w:color w:val="auto"/>
        </w:rPr>
      </w:pPr>
    </w:p>
    <w:p>
      <w:pPr>
        <w:ind w:right="80" w:firstLine="408"/>
        <w:spacing w:after="0" w:line="261" w:lineRule="auto"/>
        <w:tabs>
          <w:tab w:leader="none" w:pos="6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71" w:lineRule="exact"/>
        <w:rPr>
          <w:rFonts w:ascii="Times New Roman" w:cs="Times New Roman" w:eastAsia="Times New Roman" w:hAnsi="Times New Roman"/>
          <w:sz w:val="18"/>
          <w:szCs w:val="18"/>
          <w:color w:val="auto"/>
        </w:rPr>
      </w:pPr>
    </w:p>
    <w:p>
      <w:pPr>
        <w:ind w:firstLine="408"/>
        <w:spacing w:after="0" w:line="255" w:lineRule="auto"/>
        <w:tabs>
          <w:tab w:leader="none" w:pos="6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20" w:top="270" w:right="479" w:bottom="1440" w:gutter="0" w:footer="0" w:header="0"/>
        </w:sectPr>
      </w:pPr>
    </w:p>
    <w:bookmarkStart w:id="72" w:name="page73"/>
    <w:bookmarkEnd w:id="7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88" w:lineRule="exact"/>
        <w:rPr>
          <w:sz w:val="20"/>
          <w:szCs w:val="20"/>
          <w:color w:val="auto"/>
        </w:rPr>
      </w:pPr>
    </w:p>
    <w:p>
      <w:pPr>
        <w:jc w:val="both"/>
        <w:ind w:right="200" w:firstLine="408"/>
        <w:spacing w:after="0" w:line="266" w:lineRule="auto"/>
        <w:tabs>
          <w:tab w:leader="none" w:pos="6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67" w:lineRule="exact"/>
        <w:rPr>
          <w:rFonts w:ascii="Times New Roman" w:cs="Times New Roman" w:eastAsia="Times New Roman" w:hAnsi="Times New Roman"/>
          <w:sz w:val="18"/>
          <w:szCs w:val="18"/>
          <w:color w:val="auto"/>
        </w:rPr>
      </w:pPr>
    </w:p>
    <w:p>
      <w:pPr>
        <w:ind w:right="100" w:firstLine="408"/>
        <w:spacing w:after="0" w:line="258" w:lineRule="auto"/>
        <w:tabs>
          <w:tab w:leader="none" w:pos="6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75" w:lineRule="exact"/>
        <w:rPr>
          <w:rFonts w:ascii="Times New Roman" w:cs="Times New Roman" w:eastAsia="Times New Roman" w:hAnsi="Times New Roman"/>
          <w:sz w:val="18"/>
          <w:szCs w:val="18"/>
          <w:color w:val="auto"/>
        </w:rPr>
      </w:pPr>
    </w:p>
    <w:p>
      <w:pPr>
        <w:ind w:right="260" w:firstLine="408"/>
        <w:spacing w:after="0" w:line="266" w:lineRule="auto"/>
        <w:tabs>
          <w:tab w:leader="none" w:pos="6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40"/>
          </w:cols>
          <w:pgMar w:left="1420" w:top="270" w:right="439" w:bottom="1440" w:gutter="0" w:footer="0" w:header="0"/>
        </w:sectPr>
      </w:pPr>
    </w:p>
    <w:bookmarkStart w:id="73" w:name="page74"/>
    <w:bookmarkEnd w:id="73"/>
    <w:p>
      <w:pPr>
        <w:ind w:left="-7" w:right="60" w:firstLine="408"/>
        <w:spacing w:after="0" w:line="254" w:lineRule="auto"/>
        <w:tabs>
          <w:tab w:leader="none" w:pos="64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any resale of Registrable Securities by a Holder, use its commercially reasonable efforts to register or qualify or cooperate with the selling Holders in connection with the registration or qualification (or exemption from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83" w:lineRule="exact"/>
        <w:rPr>
          <w:rFonts w:ascii="Times New Roman" w:cs="Times New Roman" w:eastAsia="Times New Roman" w:hAnsi="Times New Roman"/>
          <w:sz w:val="18"/>
          <w:szCs w:val="18"/>
          <w:color w:val="auto"/>
        </w:rPr>
      </w:pPr>
    </w:p>
    <w:p>
      <w:pPr>
        <w:ind w:left="-7" w:right="80" w:firstLine="408"/>
        <w:spacing w:after="0" w:line="261" w:lineRule="auto"/>
        <w:tabs>
          <w:tab w:leader="none" w:pos="60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71" w:lineRule="exact"/>
        <w:rPr>
          <w:rFonts w:ascii="Times New Roman" w:cs="Times New Roman" w:eastAsia="Times New Roman" w:hAnsi="Times New Roman"/>
          <w:sz w:val="18"/>
          <w:szCs w:val="18"/>
          <w:color w:val="auto"/>
        </w:rPr>
      </w:pPr>
    </w:p>
    <w:p>
      <w:pPr>
        <w:ind w:left="-7" w:right="60" w:firstLine="408"/>
        <w:spacing w:after="0" w:line="253" w:lineRule="auto"/>
        <w:tabs>
          <w:tab w:leader="none" w:pos="60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w:t>
      </w:r>
    </w:p>
    <w:p>
      <w:pPr>
        <w:spacing w:after="0" w:line="2" w:lineRule="exact"/>
        <w:rPr>
          <w:rFonts w:ascii="Times New Roman" w:cs="Times New Roman" w:eastAsia="Times New Roman" w:hAnsi="Times New Roman"/>
          <w:sz w:val="18"/>
          <w:szCs w:val="18"/>
          <w:color w:val="auto"/>
        </w:rPr>
      </w:pPr>
    </w:p>
    <w:p>
      <w:pPr>
        <w:ind w:left="-7" w:firstLine="7"/>
        <w:spacing w:after="0" w:line="253" w:lineRule="auto"/>
        <w:tabs>
          <w:tab w:leader="none" w:pos="3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78" w:lineRule="exact"/>
        <w:rPr>
          <w:rFonts w:ascii="Times New Roman" w:cs="Times New Roman" w:eastAsia="Times New Roman" w:hAnsi="Times New Roman"/>
          <w:sz w:val="18"/>
          <w:szCs w:val="18"/>
          <w:color w:val="auto"/>
        </w:rPr>
      </w:pPr>
    </w:p>
    <w:p>
      <w:pPr>
        <w:jc w:val="both"/>
        <w:ind w:left="-7" w:right="100" w:firstLine="408"/>
        <w:spacing w:after="0" w:line="266" w:lineRule="auto"/>
        <w:tabs>
          <w:tab w:leader="none" w:pos="6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w:t>
      </w:r>
    </w:p>
    <w:p>
      <w:pPr>
        <w:spacing w:after="0" w:line="108"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33"/>
          </w:cols>
          <w:pgMar w:left="1427" w:top="270" w:right="439" w:bottom="1440" w:gutter="0" w:footer="0" w:header="0"/>
        </w:sectPr>
      </w:pPr>
    </w:p>
    <w:bookmarkStart w:id="74" w:name="page75"/>
    <w:bookmarkEnd w:id="74"/>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68" w:lineRule="exact"/>
        <w:rPr>
          <w:sz w:val="20"/>
          <w:szCs w:val="20"/>
          <w:color w:val="auto"/>
        </w:rPr>
      </w:pPr>
    </w:p>
    <w:p>
      <w:pPr>
        <w:ind w:left="980" w:right="200" w:firstLine="408"/>
        <w:spacing w:after="0" w:line="255" w:lineRule="auto"/>
        <w:tabs>
          <w:tab w:leader="none" w:pos="15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80" w:lineRule="exact"/>
        <w:rPr>
          <w:rFonts w:ascii="Times New Roman" w:cs="Times New Roman" w:eastAsia="Times New Roman" w:hAnsi="Times New Roman"/>
          <w:sz w:val="18"/>
          <w:szCs w:val="18"/>
          <w:color w:val="auto"/>
        </w:rPr>
      </w:pPr>
    </w:p>
    <w:p>
      <w:pPr>
        <w:ind w:left="980" w:right="100" w:firstLine="408"/>
        <w:spacing w:after="0" w:line="268" w:lineRule="auto"/>
        <w:tabs>
          <w:tab w:leader="none" w:pos="1686"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view to making available to each Holder the benefits of Rule 144 and any other similar rule or regulation of the Commission that may at any time permit such Holder to sell securities of the Company to the public without registration, the Company agrees (until all of the Registrable Securities have been sold or transferred under a Registration Statement or pursuant to Rule 144) to use its best efforts to: (i) make and keep public information available, as those terms are understood and defined in Rule 144; (ii) file with the Commission in a timely manner (or obtain extensions in respect thereof and file within the applicable grace period) all reports and other documents required of the Company under the Securities Act and the Exchange Act so long as the Company remains subject to such requirements; and (iii) furnish to such Holder, so long as such Holder owns any Registrable Securities, promptly upon written request</w:t>
      </w:r>
    </w:p>
    <w:p>
      <w:pPr>
        <w:spacing w:after="0" w:line="2" w:lineRule="exact"/>
        <w:rPr>
          <w:rFonts w:ascii="Times New Roman" w:cs="Times New Roman" w:eastAsia="Times New Roman" w:hAnsi="Times New Roman"/>
          <w:sz w:val="17"/>
          <w:szCs w:val="17"/>
          <w:color w:val="auto"/>
        </w:rPr>
      </w:pPr>
    </w:p>
    <w:p>
      <w:pPr>
        <w:ind w:left="980" w:firstLine="7"/>
        <w:spacing w:after="0" w:line="253" w:lineRule="auto"/>
        <w:tabs>
          <w:tab w:leader="none" w:pos="12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by the Company, if true, that it has complied with the reporting requirements of Rule 144, the Securities Act and the Exchange Act, (B) to the extent not publicly available through the Commissions EDGAR database, a copy of the most recent annual or quarterly report of the Company and such other reports and documents so filed by the Company with the Commission, and (C) such other information as may be reasonably requested by such Holder in connection with such Holders compliance with any rule or regulation of the Commission which permits the selling of any such securities without registration.</w:t>
      </w:r>
    </w:p>
    <w:p>
      <w:pPr>
        <w:spacing w:after="0" w:line="79" w:lineRule="exact"/>
        <w:rPr>
          <w:sz w:val="20"/>
          <w:szCs w:val="20"/>
          <w:color w:val="auto"/>
        </w:rPr>
      </w:pPr>
    </w:p>
    <w:p>
      <w:pPr>
        <w:ind w:left="620" w:hanging="184"/>
        <w:spacing w:after="0"/>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75" w:name="page76"/>
    <w:bookmarkEnd w:id="75"/>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w:t>
      </w:r>
    </w:p>
    <w:p>
      <w:pPr>
        <w:spacing w:after="0" w:line="3" w:lineRule="exact"/>
        <w:rPr>
          <w:sz w:val="20"/>
          <w:szCs w:val="20"/>
          <w:color w:val="auto"/>
        </w:rPr>
      </w:pPr>
    </w:p>
    <w:p>
      <w:pPr>
        <w:ind w:left="4" w:hanging="4"/>
        <w:spacing w:after="0" w:line="252" w:lineRule="auto"/>
        <w:tabs>
          <w:tab w:leader="none" w:pos="3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80"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52" w:lineRule="auto"/>
        <w:tabs>
          <w:tab w:leader="none" w:pos="1629"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w:t>
      </w:r>
    </w:p>
    <w:p>
      <w:pPr>
        <w:spacing w:after="0" w:line="6" w:lineRule="exact"/>
        <w:rPr>
          <w:rFonts w:ascii="Times New Roman" w:cs="Times New Roman" w:eastAsia="Times New Roman" w:hAnsi="Times New Roman"/>
          <w:sz w:val="18"/>
          <w:szCs w:val="18"/>
          <w:color w:val="auto"/>
        </w:rPr>
      </w:pPr>
    </w:p>
    <w:p>
      <w:pPr>
        <w:ind w:left="984" w:right="40" w:firstLine="7"/>
        <w:spacing w:after="0" w:line="252" w:lineRule="auto"/>
        <w:tabs>
          <w:tab w:leader="none" w:pos="1239"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76" w:name="page77"/>
    <w:bookmarkEnd w:id="7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spacing w:after="0" w:line="84" w:lineRule="exact"/>
        <w:rPr>
          <w:sz w:val="20"/>
          <w:szCs w:val="20"/>
          <w:color w:val="auto"/>
        </w:rPr>
      </w:pPr>
    </w:p>
    <w:p>
      <w:pPr>
        <w:ind w:firstLine="408"/>
        <w:spacing w:after="0" w:line="25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20"/>
          </w:cols>
          <w:pgMar w:left="1420" w:top="270" w:right="459" w:bottom="1440" w:gutter="0" w:footer="0" w:header="0"/>
        </w:sectPr>
      </w:pPr>
    </w:p>
    <w:bookmarkStart w:id="77" w:name="page78"/>
    <w:bookmarkEnd w:id="77"/>
    <w:p>
      <w:pPr>
        <w:ind w:firstLine="408"/>
        <w:spacing w:after="0" w:line="254" w:lineRule="auto"/>
        <w:tabs>
          <w:tab w:leader="none" w:pos="6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84" w:lineRule="exact"/>
        <w:rPr>
          <w:sz w:val="20"/>
          <w:szCs w:val="20"/>
          <w:color w:val="auto"/>
        </w:rPr>
      </w:pPr>
    </w:p>
    <w:p>
      <w:pPr>
        <w:ind w:right="20" w:firstLine="401"/>
        <w:spacing w:after="0" w:line="252"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on terms reasonably satisfactory to such Indemnified Person.</w:t>
      </w:r>
    </w:p>
    <w:p>
      <w:pPr>
        <w:spacing w:after="0" w:line="89" w:lineRule="exact"/>
        <w:rPr>
          <w:sz w:val="20"/>
          <w:szCs w:val="20"/>
          <w:color w:val="auto"/>
        </w:rPr>
      </w:pPr>
    </w:p>
    <w:p>
      <w:pPr>
        <w:ind w:right="100" w:firstLine="401"/>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20"/>
          </w:cols>
          <w:pgMar w:left="1420" w:top="270" w:right="459" w:bottom="1440" w:gutter="0" w:footer="0" w:header="0"/>
        </w:sectPr>
      </w:pPr>
    </w:p>
    <w:bookmarkStart w:id="78" w:name="page79"/>
    <w:bookmarkEnd w:id="78"/>
    <w:p>
      <w:pPr>
        <w:ind w:left="900" w:firstLine="408"/>
        <w:spacing w:after="0" w:line="253" w:lineRule="auto"/>
        <w:tabs>
          <w:tab w:leader="none" w:pos="15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82" w:lineRule="exact"/>
        <w:rPr>
          <w:sz w:val="20"/>
          <w:szCs w:val="20"/>
          <w:color w:val="auto"/>
        </w:rPr>
      </w:pPr>
    </w:p>
    <w:p>
      <w:pPr>
        <w:ind w:left="900" w:firstLine="401"/>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79" w:lineRule="exact"/>
        <w:rPr>
          <w:sz w:val="20"/>
          <w:szCs w:val="20"/>
          <w:color w:val="auto"/>
        </w:rPr>
      </w:pPr>
    </w:p>
    <w:p>
      <w:pPr>
        <w:ind w:left="900" w:right="260" w:firstLine="401"/>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54" w:lineRule="exact"/>
        <w:rPr>
          <w:sz w:val="20"/>
          <w:szCs w:val="20"/>
          <w:color w:val="auto"/>
        </w:rPr>
      </w:pPr>
    </w:p>
    <w:p>
      <w:pPr>
        <w:ind w:left="540" w:hanging="18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color w:val="auto"/>
        </w:rPr>
      </w:pPr>
    </w:p>
    <w:p>
      <w:pPr>
        <w:ind w:left="-80" w:right="40" w:firstLine="987"/>
        <w:spacing w:after="0" w:line="256" w:lineRule="auto"/>
        <w:tabs>
          <w:tab w:leader="none" w:pos="11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60"/>
          </w:cols>
          <w:pgMar w:left="520" w:top="270" w:right="519" w:bottom="1440" w:gutter="0" w:footer="0" w:header="0"/>
        </w:sectPr>
      </w:pPr>
    </w:p>
    <w:bookmarkStart w:id="79" w:name="page80"/>
    <w:bookmarkEnd w:id="79"/>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Except as set forth on Schedule 6(b) attached hereto, neither the Company nor any of its security holders (other than the Holders in such capacity pursuant hereto) may include securities of the Company in any Registration Statements other than the Registrable Securities.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Except as set forth on Schedule 6(b) attached hereto,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w:t>
      </w:r>
    </w:p>
    <w:p>
      <w:pPr>
        <w:spacing w:after="0" w:line="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[RESERVED]</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provided that the foregoing shall not prevent the sale, transfer or other disposition of Registrable Securities by a Holder in a transaction that is exempt from, or not subject to, the registration requirements of the Securities Act, so long as such Holder does not and is not required to deliver the applicable Prospectus or Registration Statement in connection with such sale, transfer or other disposition, as the case may be.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NTD: Company to advise if any applicable rights exist.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80" w:name="page81"/>
    <w:bookmarkEnd w:id="8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6(f). No consideration shall be offered or paid to any Person to amend or consent to a waiver or modification of any provision of this Agreement unless the same consideration also is offered to all of the parties to this Agreement.</w:t>
      </w:r>
    </w:p>
    <w:p>
      <w:pPr>
        <w:spacing w:after="0" w:line="79" w:lineRule="exact"/>
        <w:rPr>
          <w:sz w:val="20"/>
          <w:szCs w:val="20"/>
          <w:color w:val="auto"/>
        </w:rPr>
      </w:pPr>
    </w:p>
    <w:p>
      <w:pPr>
        <w:ind w:left="4" w:right="40" w:firstLine="987"/>
        <w:spacing w:after="0" w:line="282" w:lineRule="auto"/>
        <w:tabs>
          <w:tab w:leader="none" w:pos="12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53"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71" w:lineRule="exact"/>
        <w:rPr>
          <w:rFonts w:ascii="Times New Roman" w:cs="Times New Roman" w:eastAsia="Times New Roman" w:hAnsi="Times New Roman"/>
          <w:sz w:val="18"/>
          <w:szCs w:val="18"/>
          <w:color w:val="auto"/>
        </w:rPr>
      </w:pPr>
    </w:p>
    <w:p>
      <w:pPr>
        <w:ind w:left="4" w:right="20" w:firstLine="987"/>
        <w:spacing w:after="0" w:line="257" w:lineRule="auto"/>
        <w:tabs>
          <w:tab w:leader="none" w:pos="125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Schedule 6(i), neither the Company nor any of its Subsidiaries has previously entered into any agreement granting any registration rights with respect to any of its securities to any Person that have not been satisfied in full.</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1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81" w:lineRule="exact"/>
        <w:rPr>
          <w:rFonts w:ascii="Times New Roman" w:cs="Times New Roman" w:eastAsia="Times New Roman" w:hAnsi="Times New Roman"/>
          <w:sz w:val="18"/>
          <w:szCs w:val="18"/>
          <w:color w:val="auto"/>
        </w:rPr>
      </w:pPr>
    </w:p>
    <w:p>
      <w:pPr>
        <w:ind w:left="4" w:right="700" w:firstLine="987"/>
        <w:spacing w:after="0" w:line="282" w:lineRule="auto"/>
        <w:tabs>
          <w:tab w:leader="none" w:pos="121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Company to advise if any applicable events.</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81" w:name="page82"/>
    <w:bookmarkEnd w:id="81"/>
    <w:p>
      <w:pPr>
        <w:ind w:left="1240" w:hanging="253"/>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117" w:lineRule="exact"/>
        <w:rPr>
          <w:rFonts w:ascii="Times New Roman" w:cs="Times New Roman" w:eastAsia="Times New Roman" w:hAnsi="Times New Roman"/>
          <w:sz w:val="18"/>
          <w:szCs w:val="18"/>
          <w:color w:val="auto"/>
        </w:rPr>
      </w:pPr>
    </w:p>
    <w:p>
      <w:pPr>
        <w:ind w:right="80" w:firstLine="987"/>
        <w:spacing w:after="0" w:line="256" w:lineRule="auto"/>
        <w:tabs>
          <w:tab w:leader="none" w:pos="12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5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Registration Rights Agreement as of the date first written above.</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of Holders follows.</w:t>
      </w:r>
      <w:r>
        <w:rPr>
          <w:rFonts w:ascii="Times New Roman" w:cs="Times New Roman" w:eastAsia="Times New Roman" w:hAnsi="Times New Roman"/>
          <w:sz w:val="18"/>
          <w:szCs w:val="18"/>
          <w:color w:val="auto"/>
        </w:rPr>
        <w:t>]</w:t>
      </w:r>
    </w:p>
    <w:p>
      <w:pPr>
        <w:sectPr>
          <w:pgSz w:w="11900" w:h="16838" w:orient="portrait"/>
          <w:cols w:equalWidth="0" w:num="1">
            <w:col w:w="9039"/>
          </w:cols>
          <w:pgMar w:left="1420" w:top="270" w:right="1440" w:bottom="1440" w:gutter="0" w:footer="0" w:header="0"/>
        </w:sectPr>
      </w:pPr>
    </w:p>
    <w:bookmarkStart w:id="83" w:name="page84"/>
    <w:bookmarkEnd w:id="83"/>
    <w:p>
      <w:pPr>
        <w:jc w:val="right"/>
        <w:ind w:right="29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Signature page of Holder to DCTH RRA</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continue.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19"/>
          </w:cols>
          <w:pgMar w:left="440" w:top="268" w:right="1440" w:bottom="1440" w:gutter="0" w:footer="0" w:header="0"/>
        </w:sectPr>
      </w:pPr>
    </w:p>
    <w:bookmarkStart w:id="84" w:name="page85"/>
    <w:bookmarkEnd w:id="84"/>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6(b)</w:t>
      </w:r>
    </w:p>
    <w:p>
      <w:pPr>
        <w:spacing w:after="0" w:line="229"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No Piggyback on Registrations; Prohibition on Filing Other Registration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9"/>
          </w:cols>
          <w:pgMar w:left="440" w:top="266" w:right="1440" w:bottom="1440" w:gutter="0" w:footer="0" w:header="0"/>
        </w:sectPr>
      </w:pPr>
    </w:p>
    <w:bookmarkStart w:id="85" w:name="page86"/>
    <w:bookmarkEnd w:id="8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6(i)</w:t>
      </w:r>
    </w:p>
    <w:p>
      <w:pPr>
        <w:spacing w:after="0" w:line="229"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8"/>
          <w:szCs w:val="18"/>
          <w:color w:val="auto"/>
        </w:rPr>
        <w:t>No Inconsistent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Each Selling Stockholder, or the Selling Stockholders,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5" w:lineRule="exact"/>
        <w:rPr>
          <w:sz w:val="20"/>
          <w:szCs w:val="20"/>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 dealers to participate in sales. Broker-dealers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87" w:name="page88"/>
    <w:bookmarkEnd w:id="87"/>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that we incur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agreed to keep this prospectus effective continuously effective under the Securities Act until the date that all the resale securities being offered by the Selling Stockholders (i) have been sold pursuant to this registration statement or pursuant to Rule 144, or (ii) may be sold without volume or manner-of-sale restrictions pursuant to Rule 144 and without the requirement for us to be in compliance with the current public information requirement under Rule 144.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8" w:name="page89"/>
    <w:bookmarkEnd w:id="8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previously issued to the selling stockholders, and those issuable to the selling stockholders, upon exercise of the warrants. For additional information regarding the issuances of those shares of common stock and warrants, see “Private Placement of Common Stock and Warrants” above. We are registering the common stock in order to permit the selling stockholders to offer the shares for resale from time to time. Except for the ownership of the common stock and the warrants, and as otherwise disclosed in the footnotes to the below table, the selling stockholders have not had any material relationship with us within the past three years.</w:t>
      </w:r>
    </w:p>
    <w:p>
      <w:pPr>
        <w:spacing w:after="0" w:line="18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common stock by each of the selling stockholders. The second column lists the number of common stock beneficially owned by each selling stockholder, based on its ownership of the common stock and warrants, as of ________, 2022, assuming exercise of the warrants held by the selling stockholders on that date, without regard to any limitations on exercises.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third column lists the common stock being offered by this prospectus by the selling stockholders.</w:t>
      </w:r>
    </w:p>
    <w:p>
      <w:pPr>
        <w:spacing w:after="0" w:line="225"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the terms of a registration rights agreement with the selling stockholders, this prospectus generally covers the resale of the sum of (i) the number of common stock issued to the selling stockholders in the “Private Placement of Common Stock and Warrants” described above and</w:t>
      </w:r>
    </w:p>
    <w:p>
      <w:pPr>
        <w:spacing w:after="0" w:line="1" w:lineRule="exact"/>
        <w:rPr>
          <w:sz w:val="20"/>
          <w:szCs w:val="20"/>
          <w:color w:val="auto"/>
        </w:rPr>
      </w:pPr>
    </w:p>
    <w:p>
      <w:pPr>
        <w:ind w:left="4" w:right="80" w:hanging="4"/>
        <w:spacing w:after="0" w:line="253" w:lineRule="auto"/>
        <w:tabs>
          <w:tab w:leader="none" w:pos="2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spacing w:after="0" w:line="18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we are required to use commercially reasonable efforts to keep this registration statement continuously effective under the Securities Act until the date that all the registrable securities covered by this registration statement (i) have been sold, hereunder or pursuant to Rule 144, or (ii) may be sold without volume or manner-of-sale restrictions pursuant to Rule 144 and without the requirement for us to be in compliance with the current public information requirement under Rule 144.</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90" w:name="page91"/>
    <w:bookmarkEnd w:id="9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terms of the warrants, a selling stockholder may not exercise the warrants to the extent such exercise would cause such selling stockholder, together with its affiliates and attribution parties, to beneficially own a number of common stock which would exceed 9.99% of our then outstanding ordinary following such exercise, excluding for purposes of such determination common stock issuable upon exercise of the warrants which have not been exercised. The number of shares in the second column does not reflect this limitation. The selling stockholders may sell all, some or none of their shares in this offering. See “Plan of Distribution.”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to be Sold</w:t>
            </w: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40" w:type="dxa"/>
            <w:vAlign w:val="bottom"/>
          </w:tcPr>
          <w:p>
            <w:pPr>
              <w:spacing w:after="0"/>
              <w:rPr>
                <w:sz w:val="12"/>
                <w:szCs w:val="12"/>
                <w:color w:val="auto"/>
              </w:rPr>
            </w:pPr>
          </w:p>
        </w:tc>
        <w:tc>
          <w:tcPr>
            <w:tcW w:w="2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Owned Prior to</w:t>
            </w:r>
          </w:p>
        </w:tc>
        <w:tc>
          <w:tcPr>
            <w:tcW w:w="2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Owned After</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0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51" w:right="4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DELCATH 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The undersigned beneficial owner of shares of common stock (the “</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of Delcath Systems,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understands that the Company has filed or intends to file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a registration statement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for the registration and resale under Rule 415 of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of the Registrable Securities, in accordance with the terms of the Registration Rights Agreement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7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ectPr>
          <w:pgSz w:w="11900" w:h="16838" w:orient="portrait"/>
          <w:cols w:equalWidth="0" w:num="1">
            <w:col w:w="11020"/>
          </w:cols>
          <w:pgMar w:left="440" w:top="266" w:right="439" w:bottom="1440" w:gutter="0" w:footer="0" w:header="0"/>
        </w:sectPr>
      </w:pPr>
    </w:p>
    <w:bookmarkStart w:id="93" w:name="page94"/>
    <w:bookmarkEnd w:id="9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544" w:hanging="544"/>
        <w:spacing w:after="0"/>
        <w:tabs>
          <w:tab w:leader="none" w:pos="54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34"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34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388620</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542925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-1342390</wp:posOffset>
            </wp:positionV>
            <wp:extent cx="55130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1307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-913765</wp:posOffset>
            </wp:positionV>
            <wp:extent cx="55130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1307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-347980</wp:posOffset>
            </wp:positionV>
            <wp:extent cx="55130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1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154305</wp:posOffset>
            </wp:positionV>
            <wp:extent cx="67119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154305</wp:posOffset>
            </wp:positionV>
            <wp:extent cx="67119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154305</wp:posOffset>
            </wp:positionV>
            <wp:extent cx="67119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84" w:hanging="184"/>
        <w:spacing w:after="0"/>
        <w:tabs>
          <w:tab w:leader="none" w:pos="18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88" w:lineRule="exact"/>
        <w:rPr>
          <w:sz w:val="20"/>
          <w:szCs w:val="20"/>
          <w:color w:val="auto"/>
        </w:rPr>
      </w:pPr>
    </w:p>
    <w:p>
      <w:pPr>
        <w:jc w:val="center"/>
        <w:ind w:right="-103"/>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9" w:lineRule="exact"/>
        <w:rPr>
          <w:sz w:val="20"/>
          <w:szCs w:val="20"/>
          <w:color w:val="auto"/>
        </w:rPr>
      </w:pPr>
    </w:p>
    <w:p>
      <w:pPr>
        <w:ind w:left="4924" w:hanging="4384"/>
        <w:spacing w:after="0" w:line="289" w:lineRule="exact"/>
        <w:tabs>
          <w:tab w:leader="none" w:pos="11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94" w:name="page95"/>
    <w:bookmarkEnd w:id="94"/>
    <w:p>
      <w:pPr>
        <w:ind w:left="1180" w:right="600" w:hanging="639"/>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w:t>
        <w:tab/>
        <w:t>If “no” to Section 3(b), the Commission’s staff has indicated that you should be identified as an underwriter in the Registration Statement.</w:t>
      </w:r>
    </w:p>
    <w:p>
      <w:pPr>
        <w:spacing w:after="0" w:line="67" w:lineRule="exact"/>
        <w:rPr>
          <w:sz w:val="20"/>
          <w:szCs w:val="20"/>
          <w:color w:val="auto"/>
        </w:rPr>
      </w:pPr>
    </w:p>
    <w:p>
      <w:pPr>
        <w:ind w:left="1180" w:hanging="644"/>
        <w:spacing w:after="0"/>
        <w:tabs>
          <w:tab w:leader="none" w:pos="1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88" w:lineRule="exact"/>
        <w:rPr>
          <w:sz w:val="20"/>
          <w:szCs w:val="20"/>
          <w:color w:val="auto"/>
        </w:rPr>
      </w:pPr>
    </w:p>
    <w:p>
      <w:pPr>
        <w:jc w:val="center"/>
        <w:ind w:right="-7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9" w:lineRule="exact"/>
        <w:rPr>
          <w:sz w:val="20"/>
          <w:szCs w:val="20"/>
          <w:color w:val="auto"/>
        </w:rPr>
      </w:pPr>
    </w:p>
    <w:p>
      <w:pPr>
        <w:ind w:left="1180" w:hanging="644"/>
        <w:spacing w:after="0" w:line="266" w:lineRule="auto"/>
        <w:tabs>
          <w:tab w:leader="none" w:pos="1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39" w:lineRule="exact"/>
        <w:rPr>
          <w:sz w:val="20"/>
          <w:szCs w:val="20"/>
          <w:color w:val="auto"/>
        </w:rPr>
      </w:pPr>
    </w:p>
    <w:p>
      <w:pPr>
        <w:jc w:val="center"/>
        <w:ind w:right="-7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1" w:lineRule="exact"/>
        <w:rPr>
          <w:sz w:val="20"/>
          <w:szCs w:val="20"/>
          <w:color w:val="auto"/>
        </w:rPr>
      </w:pPr>
    </w:p>
    <w:p>
      <w:pPr>
        <w:ind w:left="1180" w:right="600" w:hanging="639"/>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Note:</w:t>
        <w:tab/>
        <w:t>If “no” to Section 3(d), the Commission’s staff has indicated that you should be identified as an underwriter in the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119" w:lineRule="exact"/>
        <w:rPr>
          <w:sz w:val="20"/>
          <w:szCs w:val="20"/>
          <w:color w:val="auto"/>
        </w:rPr>
      </w:pPr>
    </w:p>
    <w:p>
      <w:pPr>
        <w:ind w:left="440" w:right="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66" w:lineRule="exact"/>
        <w:rPr>
          <w:sz w:val="20"/>
          <w:szCs w:val="20"/>
          <w:color w:val="auto"/>
        </w:rPr>
      </w:pPr>
    </w:p>
    <w:p>
      <w:pPr>
        <w:ind w:left="1180" w:hanging="644"/>
        <w:spacing w:after="0"/>
        <w:tabs>
          <w:tab w:leader="none" w:pos="1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-384810</wp:posOffset>
            </wp:positionV>
            <wp:extent cx="62236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-230505</wp:posOffset>
            </wp:positionV>
            <wp:extent cx="6223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Relationships with the Company:</w:t>
      </w:r>
    </w:p>
    <w:p>
      <w:pPr>
        <w:spacing w:after="0" w:line="119" w:lineRule="exact"/>
        <w:rPr>
          <w:sz w:val="20"/>
          <w:szCs w:val="20"/>
          <w:color w:val="auto"/>
        </w:rPr>
      </w:pPr>
    </w:p>
    <w:p>
      <w:pPr>
        <w:ind w:left="440" w:right="2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154305</wp:posOffset>
            </wp:positionV>
            <wp:extent cx="62236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308610</wp:posOffset>
            </wp:positionV>
            <wp:extent cx="62236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91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-7620</wp:posOffset>
            </wp:positionV>
            <wp:extent cx="17424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PLEASE FAX A COPY (OR EMAIL A PDF COPY) OF THE COMPLETED AND EXECUTED NOTICE AND QUESTIONNAIRE TO:</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Delcath Systems Announces Private Placement of $6.2 Million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NEW YORK, December 8, 2022 — Delcath Systems, Inc. (Nasdaq: DCTH), an interventional oncology company focused on the treatment of primary and metastatic cancers of the liver, today announced that it has entered into a securities purchase agreement with certain accredited investors for a private placement transaction (the “Private Placement”).</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Delcath will issue and sell 1,448,889 shares of its common stock (the “Common Stock”) at a price per share of $2.90, or, in lieu of shares of Common Stock, 692,042 pre-funded warrants to purchase Common Stock (the “Pre-Funded Warrants”) at a price per Pre-Funded Warrant of $2.89. The Pre-Funded Warrants will have an exercise price of $0.01 per share of Common Stock, be immediately exercisable and remain exercisable until exercised in full.</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Delcath expects to receive gross proceeds from the Private Placement of approximately $6.2 million before deducting offering expenses payable by Delcath.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Delcath intends to use the net proceeds from the Private Placement for working capital purposes and other general corporate purposes.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Private Placement is subject to the satisfaction of customary closing conditions.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securities to be sold in the Private Placement, including the shares of common stock underlying the Pre-Funded Warrants, have not been registered under the Securities Act of 1933, as amended, or state securities laws as of the time of issuance and may not be offered or sold in the United States absent registration with the Securities and Exchange Commission (“SEC”) or an applicable exemption from such registration requirements. Delcath has agreed to file one or more registration statements with the SEC registering the resale of the Common Stock and the shares issuable upon exercise of the Pre-Funded Warrants purchased in the Private Placement.</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17"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Delcath Systems, Inc.</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Delcath Systems, Inc. is an interventional oncology company focused on the treatment of primary and metastatic liver cancers. The company’s proprietary percutaneous hepatic perfusion (PHP) system is designed to administer high-dose chemotherapy to the liver while controlling systemic exposure and associated side effects. In the United States, the PHP system is being developed under the tradename HEPZATO KIT (melphalan hydrochloride for injection/hepatic delivery system), or HEPZATO, for the treatment of patients with unresectable hepatic-dominant metastatic ocular melanoma (mOM), also known as metastatic uveal melanoma (mUM) and is considered a combination drug and device product regulated by the United States Food and Drug Administration (FDA).</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Europe, the PHP system is now regulated as a Class lll medical device and is approved for sale under the trade name CHEMOSAT Hepatic Delivery System for Melphalan, or CHEMOSAT, where it has been used at major medical centers to treat a wide range of cancers of the liver.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the Company or on its behalf. This news release contains forward-looking statements, which are subject to certain risks and uncertainties that can cause actual results to differ materially from those described in particular, the statements regarding our Private Placement and expected gross proceeds and the expected uses of the proceeds from the Private Placement. Factors that may cause such differences include, but are not limited to, uncertainties relating to: the timing and results of the Company’s clinical trials, including without limitation the mOM and ICC clinical trial programs, as well as the receipt of additional data and the performance of additional analyses with respect to the mOM clinical trial, our determination whether to continue the ICC clinical trial program or to focus on other alternative indications, and timely monitoring and treatment of patients in the global Phase 3 mOM clinical trial and the impact of the COVID-19 pandemic on the completion of our clinical trials; the impact of the presentations at major medical conferences and future clinical results consistent with the data presented; approval of Individual Funding Requests for reimbursement of the CHEMOSAT procedure; the impact, if any, of ZE reimbursement on potential CHEMOSAT product use and sales in Germany; clinical adoption, use and resulting sales, if any, for the CHEMOSAT system to deliver and filter melphalan in Europe including the key markets of Germany and the UK; the Company’s ability to successfully commercialize the HEPZATO KIT/CHEMOSAT system and the potential of the HEPZATO KIT/CHEMOSAT system as a treatment for patients with primary and metastatic disease in the liver; our</w:t>
      </w:r>
    </w:p>
    <w:p>
      <w:pPr>
        <w:sectPr>
          <w:pgSz w:w="11900" w:h="16838" w:orient="portrait"/>
          <w:cols w:equalWidth="0" w:num="1">
            <w:col w:w="10980"/>
          </w:cols>
          <w:pgMar w:left="440" w:top="266" w:right="479" w:bottom="1440" w:gutter="0" w:footer="0" w:header="0"/>
        </w:sectPr>
      </w:pPr>
    </w:p>
    <w:bookmarkStart w:id="98" w:name="page99"/>
    <w:bookmarkEnd w:id="9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ability to obtain reimbursement for the CHEMOSAT system in various markets; approval of the current or future HEPZATO KIT/CHEMOSAT system for delivery and filtration of melphalan or other chemotherapeutic agents for various indications in the U.S. and/or in foreign markets; actions by the FDA or foreign regulatory agencies; the Company’s ability to successfully enter into strategic partnership and distribution arrangements in foreign markets and the timing and revenue, if any, of the same; uncertainties relating to the timing and results of research and development projects; and uncertainties regarding the Company’s ability to obtain financial and other resources for any research, development, clinical trials and commercialization activities. These factors, and others, are discussed from time to time in our filings with the Securities and Exchange Commission. You should not place undue reliance on these forward-looking statements, which speak only as of the date they are made. We undertake no obligation to publicly update or revise these forward-looking statements to reflect events or circumstances after the date they are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Dias, Vice President of Finance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u w:val="single" w:color="auto"/>
          <w:color w:val="auto"/>
        </w:rPr>
        <w:t>TDias@delcath.com</w:t>
      </w:r>
    </w:p>
    <w:p>
      <w:pPr>
        <w:sectPr>
          <w:pgSz w:w="11900" w:h="16838" w:orient="portrait"/>
          <w:cols w:equalWidth="0" w:num="1">
            <w:col w:w="10940"/>
          </w:cols>
          <w:pgMar w:left="440" w:top="270" w:right="5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Delcath Systems Closes Private Placement of $6.2 Million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NEW YORK, December 13, 2022 — Delcath Systems, Inc. (Nasdaq: DCTH), an interventional oncology company focused on the treatment of primary and metastatic cancers of the liver, today announced the closing of the previously announced private placement with certain accredited investors (the “Private Placement”).</w:t>
      </w:r>
    </w:p>
    <w:p>
      <w:pPr>
        <w:spacing w:after="0" w:line="17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Delcath issued and sold 1,448,889 shares of its common stock (the “Common Stock”) at a price per share of $2.90, or, in lieu of shares of Common Stock, 692,042 pre-funded warrants to purchase Common Stock (the “Pre-Funded Warrants”) at a price per Pre-Funded Warrant of $2.89. The Pre-Funded Warrants will have an exercise price of $0.01 per share of Common Stock, be immediately exercisable and remain exercisable until exercised in full.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Delcath received gross proceeds from the Private Placement of approximately $6.2 million before deducting offering expenses payable by Delcath.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Delcath intends to use the net proceeds from the Private Placement for working capital purposes and other general corporate purposes.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securities sold in the Private Placement, including the shares of common stock underlying the Pre-Funded Warrants, have not been registered under the Securities Act of 1933, as amended, or state securities laws as of the time of issuance and may not be offered or sold in the United States absent registration with the Securities and Exchange Commission (“SEC”) or an applicable exemption from such registration requirements. Delcath has agreed to file one or more registration statements with the SEC registering the resale of the Common Stock and the shares issuable upon exercise of the Pre-Funded Warrants purchased in the Private Placement.</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Delcath Systems, Inc.</w:t>
      </w:r>
    </w:p>
    <w:p>
      <w:pPr>
        <w:spacing w:after="0" w:line="12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Delcath Systems, Inc. is an interventional oncology company focused on the treatment of primary and metastatic liver cancers. The Company’s proprietary percutaneous hepatic perfusion (PHP) system is designed to administer high-dose chemotherapy to the liver while controlling systemic exposure and associated side effects. In the United States, the PHP system is being developed under the tradename HEPZATO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KIT (melphalan hydrochloride for injection/hepatic delivery system), or HEPZATO, for the treatment of patients with unresectable hepatic-dominant metastatic ocular melanoma (mOM), also known as metastatic uveal melanoma (mUM) and is considered a combination drug and device product regulated by the United States Food and Drug Administration (FDA).</w:t>
      </w:r>
    </w:p>
    <w:p>
      <w:pPr>
        <w:sectPr>
          <w:pgSz w:w="11900" w:h="16838" w:orient="portrait"/>
          <w:cols w:equalWidth="0" w:num="1">
            <w:col w:w="11020"/>
          </w:cols>
          <w:pgMar w:left="440" w:top="117" w:right="439" w:bottom="1440" w:gutter="0" w:footer="0" w:header="0"/>
        </w:sectPr>
      </w:pPr>
    </w:p>
    <w:bookmarkStart w:id="100" w:name="page101"/>
    <w:bookmarkEnd w:id="100"/>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Europe, the PHP system is now regulated as a Class lll medical device and is approved for sale under the trade name CHEMOSAT Hepatic Delivery System for Melphalan, or CHEMOSAT, where it has been used at major medical centers to treat a wide range of cancers of the liver.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the Company or on its behalf. This news release contains forward-looking statements, which are subject to certain risks and uncertainties that can cause actual results to differ materially from those described in particular, the statements regarding our Private Placement and expected gross proceeds and the expected uses of the proceeds from the Private Placement. Factors that may cause such differences include, but are not limited to, uncertainties relating to: the timing and results of the Company’s clinical trials, including without limitation the mOM and ICC clinical trial programs, as well as the receipt of additional data and the performance of additional analyses with respect to the mOM clinical trial, our determination whether to continue the ICC clinical trial program or to focus on other alternative indications, and timely monitoring and treatment of patients in the global Phase 3 mOM clinical trial and the impact of the COVID-19 pandemic on the completion of our clinical trials; the impact of the presentations at major medical conferences and future clinical results consistent with the data presented; approval of Individual Funding Requests for reimbursement of the CHEMOSAT procedure; the impact, if any, of ZE reimbursement on potential CHEMOSAT product use and sales in Germany; clinical adoption, use and resulting sales, if any, for the CHEMOSAT system to deliver and filter melphalan in Europe including the key markets of Germany and the UK; the Company’s ability to successfully commercialize the HEPZATO KIT/CHEMOSAT system and the potential of the HEPZATO KIT/CHEMOSAT system as a treatment for patients with primary and metastatic disease in the liver; our ability to obtain reimbursement for the CHEMOSAT system in various markets; approval of the current or future HEPZATO KIT/CHEMOSAT system for delivery and filtration of melphalan or other chemotherapeutic agents for various indications in the U.S. and/or in foreign markets; actions by the FDA or foreign regulatory agencies; the Company’s ability to successfully enter into strategic partnership and distribution arrangements in foreign markets and the timing and revenue, if any, of the same; uncertainties relating to the timing and results of research and development projects; and uncertainties regarding the Company’s ability to obtain financial and other resources for any research, development, clinical trials and commercialization activities.</w:t>
      </w:r>
    </w:p>
    <w:p>
      <w:pPr>
        <w:sectPr>
          <w:pgSz w:w="11900" w:h="16838" w:orient="portrait"/>
          <w:cols w:equalWidth="0" w:num="1">
            <w:col w:w="10980"/>
          </w:cols>
          <w:pgMar w:left="440" w:top="270" w:right="479" w:bottom="1440" w:gutter="0" w:footer="0" w:header="0"/>
        </w:sectPr>
      </w:pPr>
    </w:p>
    <w:bookmarkStart w:id="101" w:name="page102"/>
    <w:bookmarkEnd w:id="10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factors, and others, are discussed from time to time in our filings with the Securities and Exchange Commission. You should not place undue reliance on these forward-looking statements, which speak only as of the date they are made. We undertake no obligation to publicly update or revise these forward-looking statements to reflect events or circumstances after the date they are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Shamsian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Lytham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646-829-9701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shamsian@lythampartners.com</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lowerLetter"/>
      <w:start w:val="4"/>
    </w:lvl>
  </w:abstractNum>
  <w:abstractNum w:abstractNumId="2">
    <w:nsid w:val="684A481A"/>
    <w:multiLevelType w:val="hybridMultilevel"/>
    <w:lvl w:ilvl="0">
      <w:lvlJc w:val="left"/>
      <w:lvlText w:val="*"/>
      <w:numFmt w:val="bullet"/>
      <w:start w:val="1"/>
    </w:lvl>
    <w:lvl w:ilvl="1">
      <w:lvlJc w:val="left"/>
      <w:lvlText w:val="%2"/>
      <w:numFmt w:val="decimal"/>
      <w:start w:val="104"/>
    </w:lvl>
  </w:abstractNum>
  <w:abstractNum w:abstractNumId="3">
    <w:nsid w:val="579478FE"/>
    <w:multiLevelType w:val="hybridMultilevel"/>
    <w:lvl w:ilvl="0">
      <w:lvlJc w:val="left"/>
      <w:lvlText w:val="%1)"/>
      <w:numFmt w:val="lowerLetter"/>
      <w:start w:val="1"/>
    </w:lvl>
  </w:abstractNum>
  <w:abstractNum w:abstractNumId="4">
    <w:nsid w:val="749ABB43"/>
    <w:multiLevelType w:val="hybridMultilevel"/>
    <w:lvl w:ilvl="0">
      <w:lvlJc w:val="left"/>
      <w:lvlText w:val="%1)"/>
      <w:numFmt w:val="lowerLetter"/>
      <w:start w:val="3"/>
    </w:lvl>
    <w:lvl w:ilvl="1">
      <w:lvlJc w:val="left"/>
      <w:lvlText w:val="(%2)"/>
      <w:numFmt w:val="upperLetter"/>
      <w:start w:val="1"/>
    </w:lvl>
  </w:abstractNum>
  <w:abstractNum w:abstractNumId="5">
    <w:nsid w:val="3DC240FB"/>
    <w:multiLevelType w:val="hybridMultilevel"/>
    <w:lvl w:ilvl="0">
      <w:lvlJc w:val="left"/>
      <w:lvlText w:val="%1"/>
      <w:numFmt w:val="upperLetter"/>
      <w:start w:val="1"/>
    </w:lvl>
    <w:lvl w:ilvl="1">
      <w:lvlJc w:val="left"/>
      <w:lvlText w:val="(%2)"/>
      <w:numFmt w:val="decimal"/>
      <w:start w:val="2"/>
    </w:lvl>
  </w:abstractNum>
  <w:abstractNum w:abstractNumId="6">
    <w:nsid w:val="1BA026FA"/>
    <w:multiLevelType w:val="hybridMultilevel"/>
    <w:lvl w:ilvl="0">
      <w:lvlJc w:val="left"/>
      <w:lvlText w:val="(%1)"/>
      <w:numFmt w:val="upperLetter"/>
      <w:start w:val="2"/>
    </w:lvl>
    <w:lvl w:ilvl="1">
      <w:lvlJc w:val="left"/>
      <w:lvlText w:val="%2"/>
      <w:numFmt w:val="decimal"/>
      <w:start w:val="1"/>
    </w:lvl>
  </w:abstractNum>
  <w:abstractNum w:abstractNumId="7">
    <w:nsid w:val="79A1DEAA"/>
    <w:multiLevelType w:val="hybridMultilevel"/>
    <w:lvl w:ilvl="0">
      <w:lvlJc w:val="left"/>
      <w:lvlText w:val="(%1)"/>
      <w:numFmt w:val="upperLetter"/>
      <w:start w:val="24"/>
    </w:lvl>
  </w:abstractNum>
  <w:abstractNum w:abstractNumId="8">
    <w:nsid w:val="75C6C33A"/>
    <w:multiLevelType w:val="hybridMultilevel"/>
    <w:lvl w:ilvl="0">
      <w:lvlJc w:val="left"/>
      <w:lvlText w:val="%1)"/>
      <w:numFmt w:val="lowerLetter"/>
      <w:start w:val="4"/>
    </w:lvl>
    <w:lvl w:ilvl="1">
      <w:lvlJc w:val="left"/>
      <w:lvlText w:val="%2."/>
      <w:numFmt w:val="lowerRoman"/>
      <w:start w:val="1"/>
    </w:lvl>
  </w:abstractNum>
  <w:abstractNum w:abstractNumId="9">
    <w:nsid w:val="12E685FB"/>
    <w:multiLevelType w:val="hybridMultilevel"/>
    <w:lvl w:ilvl="0">
      <w:lvlJc w:val="left"/>
      <w:lvlText w:val="%1."/>
      <w:numFmt w:val="lowerRoman"/>
      <w:start w:val="2"/>
    </w:lvl>
  </w:abstractNum>
  <w:abstractNum w:abstractNumId="10">
    <w:nsid w:val="70C6A529"/>
    <w:multiLevelType w:val="hybridMultilevel"/>
    <w:lvl w:ilvl="0">
      <w:lvlJc w:val="left"/>
      <w:lvlText w:val="%1."/>
      <w:numFmt w:val="lowerRoman"/>
      <w:start w:val="6"/>
    </w:lvl>
  </w:abstractNum>
  <w:abstractNum w:abstractNumId="11">
    <w:nsid w:val="520EEDD1"/>
    <w:multiLevelType w:val="hybridMultilevel"/>
    <w:lvl w:ilvl="0">
      <w:lvlJc w:val="left"/>
      <w:lvlText w:val="%1)"/>
      <w:numFmt w:val="lowerLetter"/>
      <w:start w:val="5"/>
    </w:lvl>
  </w:abstractNum>
  <w:abstractNum w:abstractNumId="12">
    <w:nsid w:val="374A3FE6"/>
    <w:multiLevelType w:val="hybridMultilevel"/>
    <w:lvl w:ilvl="0">
      <w:lvlJc w:val="left"/>
      <w:lvlText w:val="%1"/>
      <w:numFmt w:val="lowerRoman"/>
      <w:start w:val="1"/>
    </w:lvl>
    <w:lvl w:ilvl="1">
      <w:lvlJc w:val="left"/>
      <w:lvlText w:val="%2)"/>
      <w:numFmt w:val="lowerLetter"/>
      <w:start w:val="1"/>
    </w:lvl>
  </w:abstractNum>
  <w:abstractNum w:abstractNumId="13">
    <w:nsid w:val="4F4EF005"/>
    <w:multiLevelType w:val="hybridMultilevel"/>
    <w:lvl w:ilvl="0">
      <w:lvlJc w:val="left"/>
      <w:lvlText w:val="(%1)"/>
      <w:numFmt w:val="lowerRoman"/>
      <w:start w:val="3"/>
    </w:lvl>
    <w:lvl w:ilvl="1">
      <w:lvlJc w:val="left"/>
      <w:lvlText w:val="%2)"/>
      <w:numFmt w:val="lowerLetter"/>
      <w:start w:val="2"/>
    </w:lvl>
  </w:abstractNum>
  <w:abstractNum w:abstractNumId="14">
    <w:nsid w:val="23F9C13C"/>
    <w:multiLevelType w:val="hybridMultilevel"/>
    <w:lvl w:ilvl="0">
      <w:lvlJc w:val="left"/>
      <w:lvlText w:val="%1)"/>
      <w:numFmt w:val="lowerLetter"/>
      <w:start w:val="3"/>
    </w:lvl>
  </w:abstractNum>
  <w:abstractNum w:abstractNumId="15">
    <w:nsid w:val="649BB77C"/>
    <w:multiLevelType w:val="hybridMultilevel"/>
    <w:lvl w:ilvl="0">
      <w:lvlJc w:val="left"/>
      <w:lvlText w:val="%1)"/>
      <w:numFmt w:val="lowerLetter"/>
      <w:start w:val="6"/>
    </w:lvl>
    <w:lvl w:ilvl="1">
      <w:lvlJc w:val="left"/>
      <w:lvlText w:val="%2."/>
      <w:numFmt w:val="lowerRoman"/>
      <w:start w:val="1"/>
    </w:lvl>
  </w:abstractNum>
  <w:abstractNum w:abstractNumId="16">
    <w:nsid w:val="275AC794"/>
    <w:multiLevelType w:val="hybridMultilevel"/>
    <w:lvl w:ilvl="0">
      <w:lvlJc w:val="left"/>
      <w:lvlText w:val="%1)"/>
      <w:numFmt w:val="lowerLetter"/>
      <w:start w:val="1"/>
    </w:lvl>
  </w:abstractNum>
  <w:abstractNum w:abstractNumId="17">
    <w:nsid w:val="39386575"/>
    <w:multiLevelType w:val="hybridMultilevel"/>
    <w:lvl w:ilvl="0">
      <w:lvlJc w:val="left"/>
      <w:lvlText w:val="%1)"/>
      <w:numFmt w:val="lowerLetter"/>
      <w:start w:val="2"/>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1)"/>
      <w:numFmt w:val="lowerLetter"/>
      <w:start w:val="3"/>
    </w:lvl>
  </w:abstractNum>
  <w:abstractNum w:abstractNumId="20">
    <w:nsid w:val="235BA861"/>
    <w:multiLevelType w:val="hybridMultilevel"/>
    <w:lvl w:ilvl="0">
      <w:lvlJc w:val="left"/>
      <w:lvlText w:val="%1)"/>
      <w:numFmt w:val="lowerLetter"/>
      <w:start w:val="5"/>
    </w:lvl>
  </w:abstractNum>
  <w:abstractNum w:abstractNumId="21">
    <w:nsid w:val="47398C89"/>
    <w:multiLevelType w:val="hybridMultilevel"/>
    <w:lvl w:ilvl="0">
      <w:lvlJc w:val="left"/>
      <w:lvlText w:val="%1)"/>
      <w:numFmt w:val="lowerLetter"/>
      <w:start w:val="12"/>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2"/>
    </w:lvl>
    <w:lvl w:ilvl="1">
      <w:lvlJc w:val="left"/>
      <w:lvlText w:val="["/>
      <w:numFmt w:val="bullet"/>
      <w:start w:val="1"/>
    </w:lvl>
  </w:abstractNum>
  <w:abstractNum w:abstractNumId="24">
    <w:nsid w:val="741226BB"/>
    <w:multiLevelType w:val="hybridMultilevel"/>
    <w:lvl w:ilvl="0">
      <w:lvlJc w:val="left"/>
      <w:lvlText w:val="(%1)"/>
      <w:numFmt w:val="decimal"/>
      <w:start w:val="4"/>
    </w:lvl>
  </w:abstractNum>
  <w:abstractNum w:abstractNumId="25">
    <w:nsid w:val="D34B6A8"/>
    <w:multiLevelType w:val="hybridMultilevel"/>
    <w:lvl w:ilvl="0">
      <w:lvlJc w:val="left"/>
      <w:lvlText w:val="(%1)"/>
      <w:numFmt w:val="lowerRoman"/>
      <w:start w:val="2"/>
    </w:lvl>
  </w:abstractNum>
  <w:abstractNum w:abstractNumId="26">
    <w:nsid w:val="10233C99"/>
    <w:multiLevelType w:val="hybridMultilevel"/>
    <w:lvl w:ilvl="0">
      <w:lvlJc w:val="left"/>
      <w:lvlText w:val="(%1)"/>
      <w:numFmt w:val="lowerLetter"/>
      <w:start w:val="1"/>
    </w:lvl>
    <w:lvl w:ilvl="1">
      <w:lvlJc w:val="left"/>
      <w:lvlText w:val="(%2)"/>
      <w:numFmt w:val="lowerRoman"/>
      <w:start w:val="1"/>
    </w:lvl>
  </w:abstractNum>
  <w:abstractNum w:abstractNumId="27">
    <w:nsid w:val="3F6AB60F"/>
    <w:multiLevelType w:val="hybridMultilevel"/>
    <w:lvl w:ilvl="0">
      <w:lvlJc w:val="left"/>
      <w:lvlText w:val="(%1)"/>
      <w:numFmt w:val="lowerRoman"/>
      <w:start w:val="1"/>
    </w:lvl>
  </w:abstractNum>
  <w:abstractNum w:abstractNumId="28">
    <w:nsid w:val="61574095"/>
    <w:multiLevelType w:val="hybridMultilevel"/>
    <w:lvl w:ilvl="0">
      <w:lvlJc w:val="left"/>
      <w:lvlText w:val="(%1)"/>
      <w:numFmt w:val="lowerLetter"/>
      <w:start w:val="1"/>
    </w:lvl>
    <w:lvl w:ilvl="1">
      <w:lvlJc w:val="left"/>
      <w:lvlText w:val="(%2)"/>
      <w:numFmt w:val="lowerRoman"/>
      <w:start w:val="1"/>
    </w:lvl>
  </w:abstractNum>
  <w:abstractNum w:abstractNumId="29">
    <w:nsid w:val="7E0C57B1"/>
    <w:multiLevelType w:val="hybridMultilevel"/>
    <w:lvl w:ilvl="0">
      <w:lvlJc w:val="left"/>
      <w:lvlText w:val="(%1)"/>
      <w:numFmt w:val="lowerRoman"/>
      <w:start w:val="5"/>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lowerLetter"/>
      <w:start w:val="3"/>
    </w:lvl>
  </w:abstractNum>
  <w:abstractNum w:abstractNumId="32">
    <w:nsid w:val="310C50B3"/>
    <w:multiLevelType w:val="hybridMultilevel"/>
    <w:lvl w:ilvl="0">
      <w:lvlJc w:val="left"/>
      <w:lvlText w:val="(%1)"/>
      <w:numFmt w:val="lowerLetter"/>
      <w:start w:val="5"/>
    </w:lvl>
  </w:abstractNum>
  <w:abstractNum w:abstractNumId="33">
    <w:nsid w:val="5FF87E05"/>
    <w:multiLevelType w:val="hybridMultilevel"/>
    <w:lvl w:ilvl="0">
      <w:lvlJc w:val="left"/>
      <w:lvlText w:val="(%1)"/>
      <w:numFmt w:val="lowerLetter"/>
      <w:start w:val="8"/>
    </w:lvl>
  </w:abstractNum>
  <w:abstractNum w:abstractNumId="34">
    <w:nsid w:val="2F305DEF"/>
    <w:multiLevelType w:val="hybridMultilevel"/>
    <w:lvl w:ilvl="0">
      <w:lvlJc w:val="left"/>
      <w:lvlText w:val="%1"/>
      <w:numFmt w:val="upperLetter"/>
      <w:start w:val="1"/>
    </w:lvl>
    <w:lvl w:ilvl="1">
      <w:lvlJc w:val="left"/>
      <w:lvlText w:val="(%2)"/>
      <w:numFmt w:val="lowerLetter"/>
      <w:start w:val="9"/>
    </w:lvl>
  </w:abstractNum>
  <w:abstractNum w:abstractNumId="35">
    <w:nsid w:val="25A70BF7"/>
    <w:multiLevelType w:val="hybridMultilevel"/>
    <w:lvl w:ilvl="0">
      <w:lvlJc w:val="left"/>
      <w:lvlText w:val="(%1)"/>
      <w:numFmt w:val="upperLetter"/>
      <w:start w:val="1"/>
    </w:lvl>
    <w:lvl w:ilvl="1">
      <w:lvlJc w:val="left"/>
      <w:lvlText w:val="(%2)"/>
      <w:numFmt w:val="lowerLetter"/>
      <w:start w:val="10"/>
    </w:lvl>
  </w:abstractNum>
  <w:abstractNum w:abstractNumId="36">
    <w:nsid w:val="1DBABF00"/>
    <w:multiLevelType w:val="hybridMultilevel"/>
    <w:lvl w:ilvl="0">
      <w:lvlJc w:val="left"/>
      <w:lvlText w:val="(%1)"/>
      <w:numFmt w:val="lowerLetter"/>
      <w:start w:val="12"/>
    </w:lvl>
  </w:abstractNum>
  <w:abstractNum w:abstractNumId="37">
    <w:nsid w:val="4AD084E9"/>
    <w:multiLevelType w:val="hybridMultilevel"/>
    <w:lvl w:ilvl="0">
      <w:lvlJc w:val="left"/>
      <w:lvlText w:val="(%1)"/>
      <w:numFmt w:val="lowerLetter"/>
      <w:start w:val="14"/>
    </w:lvl>
  </w:abstractNum>
  <w:abstractNum w:abstractNumId="38">
    <w:nsid w:val="1F48EAA1"/>
    <w:multiLevelType w:val="hybridMultilevel"/>
    <w:lvl w:ilvl="0">
      <w:lvlJc w:val="left"/>
      <w:lvlText w:val="(%1)"/>
      <w:numFmt w:val="lowerLetter"/>
      <w:start w:val="18"/>
    </w:lvl>
  </w:abstractNum>
  <w:abstractNum w:abstractNumId="39">
    <w:nsid w:val="1381823A"/>
    <w:multiLevelType w:val="hybridMultilevel"/>
    <w:lvl w:ilvl="0">
      <w:lvlJc w:val="left"/>
      <w:lvlText w:val="(%1)"/>
      <w:numFmt w:val="lowerLetter"/>
      <w:start w:val="20"/>
    </w:lvl>
  </w:abstractNum>
  <w:abstractNum w:abstractNumId="40">
    <w:nsid w:val="5DB70AE5"/>
    <w:multiLevelType w:val="hybridMultilevel"/>
    <w:lvl w:ilvl="0">
      <w:lvlJc w:val="left"/>
      <w:lvlText w:val="(%1)"/>
      <w:numFmt w:val="lowerLetter"/>
      <w:start w:val="26"/>
    </w:lvl>
  </w:abstractNum>
  <w:abstractNum w:abstractNumId="41">
    <w:nsid w:val="100F8FCA"/>
    <w:multiLevelType w:val="hybridMultilevel"/>
    <w:lvl w:ilvl="0">
      <w:lvlJc w:val="left"/>
      <w:lvlText w:val="%1"/>
      <w:numFmt w:val="lowerLetter"/>
      <w:start w:val="1"/>
    </w:lvl>
    <w:lvl w:ilvl="1">
      <w:lvlJc w:val="left"/>
      <w:lvlText w:val="(%2)"/>
      <w:numFmt w:val="lowerLetter"/>
      <w:start w:val="27"/>
    </w:lvl>
  </w:abstractNum>
  <w:abstractNum w:abstractNumId="42">
    <w:nsid w:val="6590700B"/>
    <w:multiLevelType w:val="hybridMultilevel"/>
    <w:lvl w:ilvl="0">
      <w:lvlJc w:val="left"/>
      <w:lvlText w:val="(%1)"/>
      <w:numFmt w:val="lowerLetter"/>
      <w:start w:val="35"/>
    </w:lvl>
    <w:lvl w:ilvl="1">
      <w:lvlJc w:val="left"/>
      <w:lvlText w:val="(%2)"/>
      <w:numFmt w:val="lowerLetter"/>
      <w:start w:val="28"/>
    </w:lvl>
  </w:abstractNum>
  <w:abstractNum w:abstractNumId="43">
    <w:nsid w:val="15014ACB"/>
    <w:multiLevelType w:val="hybridMultilevel"/>
    <w:lvl w:ilvl="0">
      <w:lvlJc w:val="left"/>
      <w:lvlText w:val="(%1)"/>
      <w:numFmt w:val="lowerLetter"/>
      <w:start w:val="29"/>
    </w:lvl>
  </w:abstractNum>
  <w:abstractNum w:abstractNumId="44">
    <w:nsid w:val="5F5E7FD0"/>
    <w:multiLevelType w:val="hybridMultilevel"/>
    <w:lvl w:ilvl="0">
      <w:lvlJc w:val="left"/>
      <w:lvlText w:val="%1"/>
      <w:numFmt w:val="lowerLetter"/>
      <w:start w:val="1"/>
    </w:lvl>
    <w:lvl w:ilvl="1">
      <w:lvlJc w:val="left"/>
      <w:lvlText w:val="(%2)"/>
      <w:numFmt w:val="lowerLetter"/>
      <w:start w:val="31"/>
    </w:lvl>
  </w:abstractNum>
  <w:abstractNum w:abstractNumId="45">
    <w:nsid w:val="98A3148"/>
    <w:multiLevelType w:val="hybridMultilevel"/>
    <w:lvl w:ilvl="0">
      <w:lvlJc w:val="left"/>
      <w:lvlText w:val="(%1)"/>
      <w:numFmt w:val="lowerLetter"/>
      <w:start w:val="35"/>
    </w:lvl>
    <w:lvl w:ilvl="1">
      <w:lvlJc w:val="left"/>
      <w:lvlText w:val="%2"/>
      <w:numFmt w:val="lowerLetter"/>
      <w:start w:val="1"/>
    </w:lvl>
  </w:abstractNum>
  <w:abstractNum w:abstractNumId="46">
    <w:nsid w:val="799D0247"/>
    <w:multiLevelType w:val="hybridMultilevel"/>
    <w:lvl w:ilvl="0">
      <w:lvlJc w:val="left"/>
      <w:lvlText w:val="%1"/>
      <w:numFmt w:val="lowerLetter"/>
      <w:start w:val="1"/>
    </w:lvl>
    <w:lvl w:ilvl="1">
      <w:lvlJc w:val="left"/>
      <w:lvlText w:val="(%2)"/>
      <w:numFmt w:val="lowerLetter"/>
      <w:start w:val="35"/>
    </w:lvl>
  </w:abstractNum>
  <w:abstractNum w:abstractNumId="47">
    <w:nsid w:val="6B94764"/>
    <w:multiLevelType w:val="hybridMultilevel"/>
    <w:lvl w:ilvl="0">
      <w:lvlJc w:val="left"/>
      <w:lvlText w:val="(%1)"/>
      <w:numFmt w:val="lowerLetter"/>
      <w:start w:val="22"/>
    </w:lvl>
    <w:lvl w:ilvl="1">
      <w:lvlJc w:val="left"/>
      <w:lvlText w:val="%2"/>
      <w:numFmt w:val="lowerLetter"/>
      <w:start w:val="1"/>
    </w:lvl>
  </w:abstractNum>
  <w:abstractNum w:abstractNumId="48">
    <w:nsid w:val="42C296BD"/>
    <w:multiLevelType w:val="hybridMultilevel"/>
    <w:lvl w:ilvl="0">
      <w:lvlJc w:val="left"/>
      <w:lvlText w:val="(%1)"/>
      <w:numFmt w:val="lowerLetter"/>
      <w:start w:val="37"/>
    </w:lvl>
  </w:abstractNum>
  <w:abstractNum w:abstractNumId="49">
    <w:nsid w:val="168E121F"/>
    <w:multiLevelType w:val="hybridMultilevel"/>
    <w:lvl w:ilvl="0">
      <w:lvlJc w:val="left"/>
      <w:lvlText w:val="(%1)"/>
      <w:numFmt w:val="lowerLetter"/>
      <w:start w:val="43"/>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lowerLetter"/>
      <w:start w:val="3"/>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3"/>
    </w:lvl>
  </w:abstractNum>
  <w:abstractNum w:abstractNumId="54">
    <w:nsid w:val="7BD3EE7B"/>
    <w:multiLevelType w:val="hybridMultilevel"/>
    <w:lvl w:ilvl="0">
      <w:lvlJc w:val="left"/>
      <w:lvlText w:val="(%1)"/>
      <w:numFmt w:val="lowerLetter"/>
      <w:start w:val="4"/>
    </w:lvl>
  </w:abstractNum>
  <w:abstractNum w:abstractNumId="55">
    <w:nsid w:val="51D9C564"/>
    <w:multiLevelType w:val="hybridMultilevel"/>
    <w:lvl w:ilvl="0">
      <w:lvlJc w:val="left"/>
      <w:lvlText w:val="(%1)"/>
      <w:numFmt w:val="lowerLetter"/>
      <w:start w:val="6"/>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lowerRoman"/>
      <w:start w:val="2"/>
    </w:lvl>
  </w:abstractNum>
  <w:abstractNum w:abstractNumId="58">
    <w:nsid w:val="11447B73"/>
    <w:multiLevelType w:val="hybridMultilevel"/>
    <w:lvl w:ilvl="0">
      <w:lvlJc w:val="left"/>
      <w:lvlText w:val="(%1)"/>
      <w:numFmt w:val="lowerLetter"/>
      <w:start w:val="25"/>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3"/>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lowerLetter"/>
      <w:start w:val="3"/>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1."/>
      <w:numFmt w:val="decimal"/>
      <w:start w:val="2"/>
    </w:lvl>
    <w:lvl w:ilvl="1">
      <w:lvlJc w:val="left"/>
      <w:lvlText w:val="(%2)"/>
      <w:numFmt w:val="lowerLetter"/>
      <w:start w:val="34"/>
    </w:lvl>
    <w:lvl w:ilvl="2">
      <w:lvlJc w:val="left"/>
      <w:lvlText w:val="(%3)"/>
      <w:numFmt w:val="lowerLetter"/>
      <w:start w:val="1"/>
    </w:lvl>
  </w:abstractNum>
  <w:abstractNum w:abstractNumId="66">
    <w:nsid w:val="60B6DF70"/>
    <w:multiLevelType w:val="hybridMultilevel"/>
    <w:lvl w:ilvl="0">
      <w:lvlJc w:val="left"/>
      <w:lvlText w:val="(%1)"/>
      <w:numFmt w:val="lowerLetter"/>
      <w:start w:val="2"/>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1"/>
      <w:numFmt w:val="decimal"/>
      <w:start w:val="1"/>
    </w:lvl>
    <w:lvl w:ilvl="1">
      <w:lvlJc w:val="left"/>
      <w:lvlText w:val="(%2)"/>
      <w:numFmt w:val="lowerLetter"/>
      <w:start w:val="4"/>
    </w:lvl>
  </w:abstractNum>
  <w:abstractNum w:abstractNumId="69">
    <w:nsid w:val="7FFFCA11"/>
    <w:multiLevelType w:val="hybridMultilevel"/>
    <w:lvl w:ilvl="0">
      <w:lvlJc w:val="left"/>
      <w:lvlText w:val="(%1)"/>
      <w:numFmt w:val="decimal"/>
      <w:start w:val="20"/>
    </w:lvl>
    <w:lvl w:ilvl="1">
      <w:lvlJc w:val="left"/>
      <w:lvlText w:val="%2"/>
      <w:numFmt w:val="lowerLetter"/>
      <w:start w:val="1"/>
    </w:lvl>
  </w:abstractNum>
  <w:abstractNum w:abstractNumId="70">
    <w:nsid w:val="1A27709E"/>
    <w:multiLevelType w:val="hybridMultilevel"/>
    <w:lvl w:ilvl="0">
      <w:lvlJc w:val="left"/>
      <w:lvlText w:val="(%1)"/>
      <w:numFmt w:val="lowerLetter"/>
      <w:start w:val="5"/>
    </w:lvl>
    <w:lvl w:ilvl="1">
      <w:lvlJc w:val="left"/>
      <w:lvlText w:val="%2."/>
      <w:numFmt w:val="decimal"/>
      <w:start w:val="3"/>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1)"/>
      <w:numFmt w:val="lowerLetter"/>
      <w:start w:val="2"/>
    </w:lvl>
  </w:abstractNum>
  <w:abstractNum w:abstractNumId="73">
    <w:nsid w:val="7FB7E0AA"/>
    <w:multiLevelType w:val="hybridMultilevel"/>
    <w:lvl w:ilvl="0">
      <w:lvlJc w:val="left"/>
      <w:lvlText w:val="(%1)"/>
      <w:numFmt w:val="lowerLetter"/>
      <w:start w:val="5"/>
    </w:lvl>
  </w:abstractNum>
  <w:abstractNum w:abstractNumId="74">
    <w:nsid w:val="6EB5BD4"/>
    <w:multiLevelType w:val="hybridMultilevel"/>
    <w:lvl w:ilvl="0">
      <w:lvlJc w:val="left"/>
      <w:lvlText w:val="%1"/>
      <w:numFmt w:val="lowerLetter"/>
      <w:start w:val="1"/>
    </w:lvl>
    <w:lvl w:ilvl="1">
      <w:lvlJc w:val="left"/>
      <w:lvlText w:val="(%2)"/>
      <w:numFmt w:val="lowerLetter"/>
      <w:start w:val="8"/>
    </w:lvl>
  </w:abstractNum>
  <w:abstractNum w:abstractNumId="75">
    <w:nsid w:val="6F6DD9AC"/>
    <w:multiLevelType w:val="hybridMultilevel"/>
    <w:lvl w:ilvl="0">
      <w:lvlJc w:val="left"/>
      <w:lvlText w:val="(%1)"/>
      <w:numFmt w:val="lowerLetter"/>
      <w:start w:val="61"/>
    </w:lvl>
    <w:lvl w:ilvl="1">
      <w:lvlJc w:val="left"/>
      <w:lvlText w:val="(%2)"/>
      <w:numFmt w:val="lowerLetter"/>
      <w:start w:val="11"/>
    </w:lvl>
  </w:abstractNum>
  <w:abstractNum w:abstractNumId="76">
    <w:nsid w:val="94211F2"/>
    <w:multiLevelType w:val="hybridMultilevel"/>
    <w:lvl w:ilvl="0">
      <w:lvlJc w:val="left"/>
      <w:lvlText w:val="%1"/>
      <w:numFmt w:val="upperLetter"/>
      <w:start w:val="1"/>
    </w:lvl>
    <w:lvl w:ilvl="1">
      <w:lvlJc w:val="left"/>
      <w:lvlText w:val="(%2)"/>
      <w:numFmt w:val="lowerLetter"/>
      <w:start w:val="12"/>
    </w:lvl>
  </w:abstractNum>
  <w:abstractNum w:abstractNumId="77">
    <w:nsid w:val="885E1B"/>
    <w:multiLevelType w:val="hybridMultilevel"/>
    <w:lvl w:ilvl="0">
      <w:lvlJc w:val="left"/>
      <w:lvlText w:val="(%1)"/>
      <w:numFmt w:val="upperLetter"/>
      <w:start w:val="1"/>
    </w:lvl>
    <w:lvl w:ilvl="1">
      <w:lvlJc w:val="left"/>
      <w:lvlText w:val="%2"/>
      <w:numFmt w:val="lowerLetter"/>
      <w:start w:val="1"/>
    </w:lvl>
  </w:abstractNum>
  <w:abstractNum w:abstractNumId="78">
    <w:nsid w:val="76272110"/>
    <w:multiLevelType w:val="hybridMultilevel"/>
    <w:lvl w:ilvl="0">
      <w:lvlJc w:val="left"/>
      <w:lvlText w:val="%1."/>
      <w:numFmt w:val="decimal"/>
      <w:start w:val="4"/>
    </w:lvl>
  </w:abstractNum>
  <w:abstractNum w:abstractNumId="79">
    <w:nsid w:val="4C04A8AF"/>
    <w:multiLevelType w:val="hybridMultilevel"/>
    <w:lvl w:ilvl="0">
      <w:lvlJc w:val="left"/>
      <w:lvlText w:val="(%1)"/>
      <w:numFmt w:val="lowerRoman"/>
      <w:start w:val="4"/>
    </w:lvl>
    <w:lvl w:ilvl="1">
      <w:lvlJc w:val="left"/>
      <w:lvlText w:val="%2."/>
      <w:numFmt w:val="decimal"/>
      <w:start w:val="5"/>
    </w:lvl>
    <w:lvl w:ilvl="2">
      <w:lvlJc w:val="left"/>
      <w:lvlText w:val="(%3)"/>
      <w:numFmt w:val="decimal"/>
    </w:lvl>
    <w:lvl w:ilvl="3">
      <w:lvlJc w:val="left"/>
      <w:lvlText w:val="(%4)"/>
      <w:numFmt w:val="lowerLetter"/>
      <w:start w:val="1"/>
    </w:lvl>
  </w:abstractNum>
  <w:abstractNum w:abstractNumId="80">
    <w:nsid w:val="1716703B"/>
    <w:multiLevelType w:val="hybridMultilevel"/>
    <w:lvl w:ilvl="0">
      <w:lvlJc w:val="left"/>
      <w:lvlText w:val="(%1)"/>
      <w:numFmt w:val="lowerLetter"/>
      <w:start w:val="2"/>
    </w:lvl>
  </w:abstractNum>
  <w:abstractNum w:abstractNumId="81">
    <w:nsid w:val="14E17E33"/>
    <w:multiLevelType w:val="hybridMultilevel"/>
    <w:lvl w:ilvl="0">
      <w:lvlJc w:val="left"/>
      <w:lvlText w:val="(%1)"/>
      <w:numFmt w:val="lowerLetter"/>
      <w:start w:val="3"/>
    </w:lvl>
  </w:abstractNum>
  <w:abstractNum w:abstractNumId="82">
    <w:nsid w:val="3222E7CD"/>
    <w:multiLevelType w:val="hybridMultilevel"/>
    <w:lvl w:ilvl="0">
      <w:lvlJc w:val="left"/>
      <w:lvlText w:val="(%1)"/>
      <w:numFmt w:val="lowerLetter"/>
      <w:start w:val="4"/>
    </w:lvl>
  </w:abstractNum>
  <w:abstractNum w:abstractNumId="83">
    <w:nsid w:val="74DE0EE3"/>
    <w:multiLevelType w:val="hybridMultilevel"/>
    <w:lvl w:ilvl="0">
      <w:lvlJc w:val="left"/>
      <w:lvlText w:val="%1."/>
      <w:numFmt w:val="decimal"/>
      <w:start w:val="6"/>
    </w:lvl>
    <w:lvl w:ilvl="1">
      <w:lvlJc w:val="left"/>
      <w:lvlText w:val="(%2)"/>
      <w:numFmt w:val="lowerLetter"/>
      <w:start w:val="1"/>
    </w:lvl>
  </w:abstractNum>
  <w:abstractNum w:abstractNumId="84">
    <w:nsid w:val="68EBC550"/>
    <w:multiLevelType w:val="hybridMultilevel"/>
    <w:lvl w:ilvl="0">
      <w:lvlJc w:val="left"/>
      <w:lvlText w:val="(%1)"/>
      <w:numFmt w:val="lowerLetter"/>
      <w:start w:val="6"/>
    </w:lvl>
  </w:abstractNum>
  <w:abstractNum w:abstractNumId="85">
    <w:nsid w:val="2DF6D648"/>
    <w:multiLevelType w:val="hybridMultilevel"/>
    <w:lvl w:ilvl="0">
      <w:lvlJc w:val="left"/>
      <w:lvlText w:val="2"/>
      <w:numFmt w:val="bullet"/>
      <w:start w:val="1"/>
    </w:lvl>
  </w:abstractNum>
  <w:abstractNum w:abstractNumId="86">
    <w:nsid w:val="46B7D447"/>
    <w:multiLevelType w:val="hybridMultilevel"/>
    <w:lvl w:ilvl="0">
      <w:lvlJc w:val="left"/>
      <w:lvlText w:val="(%1)"/>
      <w:numFmt w:val="lowerLetter"/>
      <w:start w:val="1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lowerRoman"/>
      <w:start w:val="2"/>
    </w:lvl>
  </w:abstractNum>
  <w:abstractNum w:abstractNumId="89">
    <w:nsid w:val="57FC4FBB"/>
    <w:multiLevelType w:val="hybridMultilevel"/>
    <w:lvl w:ilvl="0">
      <w:lvlJc w:val="left"/>
      <w:lvlText w:val="%1."/>
      <w:numFmt w:val="decimal"/>
      <w:start w:val="1"/>
    </w:lvl>
    <w:lvl w:ilvl="1">
      <w:lvlJc w:val="left"/>
      <w:lvlText w:val="(%2)"/>
      <w:numFmt w:val="lowerLetter"/>
      <w:start w:val="1"/>
    </w:lvl>
  </w:abstractNum>
  <w:abstractNum w:abstractNumId="90">
    <w:nsid w:val="CC1016F"/>
    <w:multiLevelType w:val="hybridMultilevel"/>
    <w:lvl w:ilvl="0">
      <w:lvlJc w:val="left"/>
      <w:lvlText w:val="%1."/>
      <w:numFmt w:val="decimal"/>
      <w:start w:val="3"/>
    </w:lvl>
    <w:lvl w:ilvl="1">
      <w:lvlJc w:val="left"/>
      <w:lvlText w:val="(%2)"/>
      <w:numFmt w:val="lowerLetter"/>
      <w:start w:val="1"/>
    </w:lvl>
  </w:abstractNum>
  <w:abstractNum w:abstractNumId="91">
    <w:nsid w:val="43F18422"/>
    <w:multiLevelType w:val="hybridMultilevel"/>
    <w:lvl w:ilvl="0">
      <w:lvlJc w:val="left"/>
      <w:lvlText w:val="(%1)"/>
      <w:numFmt w:val="lowerLetter"/>
      <w:start w:val="2"/>
    </w:lvl>
  </w:abstractNum>
  <w:abstractNum w:abstractNumId="92">
    <w:nsid w:val="60EF0119"/>
    <w:multiLevelType w:val="hybridMultilevel"/>
    <w:lvl w:ilvl="0">
      <w:lvlJc w:val="left"/>
      <w:lvlText w:val="(%1)"/>
      <w:numFmt w:val="lowerLetter"/>
      <w:start w:val="3"/>
    </w:lvl>
  </w:abstractNum>
  <w:abstractNum w:abstractNumId="93">
    <w:nsid w:val="26F324BA"/>
    <w:multiLevelType w:val="hybridMultilevel"/>
    <w:lvl w:ilvl="0">
      <w:lvlJc w:val="left"/>
      <w:lvlText w:val="(%1)"/>
      <w:numFmt w:val="lowerLetter"/>
      <w:start w:val="4"/>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2022-12-13T16:00:10Z</dcterms:created>
  <dcterms:modified xsi:type="dcterms:W3CDTF">2022-12-13T16:00:10Z</dcterms:modified>
</cp:coreProperties>
</file>